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CA" w:rsidRPr="008D463A" w:rsidRDefault="007547CA" w:rsidP="007547CA">
      <w:pPr>
        <w:jc w:val="center"/>
        <w:rPr>
          <w:rFonts w:ascii="Arial" w:hAnsi="Arial" w:cs="Arial"/>
        </w:rPr>
      </w:pPr>
    </w:p>
    <w:tbl>
      <w:tblPr>
        <w:tblStyle w:val="Grilledutableau"/>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670"/>
        <w:gridCol w:w="1661"/>
      </w:tblGrid>
      <w:tr w:rsidR="00CA4A73" w:rsidTr="00163541">
        <w:tc>
          <w:tcPr>
            <w:tcW w:w="2405" w:type="dxa"/>
          </w:tcPr>
          <w:p w:rsidR="00CA4A73" w:rsidRDefault="00CA4A73" w:rsidP="00163541">
            <w:r>
              <w:rPr>
                <w:noProof/>
              </w:rPr>
              <w:drawing>
                <wp:inline distT="0" distB="0" distL="0" distR="0" wp14:anchorId="5E43F2C4" wp14:editId="6FC52763">
                  <wp:extent cx="762000" cy="60007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tc>
        <w:tc>
          <w:tcPr>
            <w:tcW w:w="5670" w:type="dxa"/>
          </w:tcPr>
          <w:p w:rsidR="00CA4A73" w:rsidRDefault="00CA4A73" w:rsidP="00163541">
            <w:pPr>
              <w:pStyle w:val="En-tte"/>
              <w:jc w:val="center"/>
              <w:rPr>
                <w:b/>
                <w:sz w:val="22"/>
              </w:rPr>
            </w:pPr>
          </w:p>
          <w:p w:rsidR="00CA4A73" w:rsidRPr="00BC1861" w:rsidRDefault="00CA4A73" w:rsidP="00163541">
            <w:pPr>
              <w:pStyle w:val="En-tte"/>
              <w:jc w:val="center"/>
              <w:rPr>
                <w:b/>
                <w:sz w:val="22"/>
              </w:rPr>
            </w:pPr>
            <w:r w:rsidRPr="00BC1861">
              <w:rPr>
                <w:b/>
                <w:sz w:val="22"/>
              </w:rPr>
              <w:t>PROGRAMME D’APPUI AU COMMERCE</w:t>
            </w:r>
          </w:p>
          <w:p w:rsidR="00CA4A73" w:rsidRPr="00BC1861" w:rsidRDefault="00CA4A73" w:rsidP="00163541">
            <w:pPr>
              <w:jc w:val="center"/>
              <w:rPr>
                <w:b/>
                <w:sz w:val="22"/>
              </w:rPr>
            </w:pPr>
            <w:r w:rsidRPr="00BC1861">
              <w:rPr>
                <w:b/>
                <w:sz w:val="22"/>
              </w:rPr>
              <w:t>ET A L’INTEGRATION ECONOMIQUE (PACIE)</w:t>
            </w:r>
          </w:p>
          <w:p w:rsidR="00CA4A73" w:rsidRPr="00BC1861" w:rsidRDefault="00CA4A73" w:rsidP="00163541">
            <w:pPr>
              <w:jc w:val="center"/>
              <w:rPr>
                <w:b/>
                <w:sz w:val="22"/>
              </w:rPr>
            </w:pPr>
          </w:p>
          <w:p w:rsidR="00CA4A73" w:rsidRDefault="00CA4A73" w:rsidP="00163541"/>
        </w:tc>
        <w:tc>
          <w:tcPr>
            <w:tcW w:w="1661" w:type="dxa"/>
          </w:tcPr>
          <w:p w:rsidR="00CA4A73" w:rsidRDefault="00CA4A73" w:rsidP="00163541">
            <w:r>
              <w:rPr>
                <w:b/>
                <w:noProof/>
              </w:rPr>
              <w:drawing>
                <wp:anchor distT="0" distB="0" distL="114300" distR="114300" simplePos="0" relativeHeight="251659264" behindDoc="0" locked="0" layoutInCell="1" allowOverlap="1" wp14:anchorId="7984E72A" wp14:editId="7AA52D2A">
                  <wp:simplePos x="0" y="0"/>
                  <wp:positionH relativeFrom="column">
                    <wp:posOffset>168275</wp:posOffset>
                  </wp:positionH>
                  <wp:positionV relativeFrom="paragraph">
                    <wp:posOffset>0</wp:posOffset>
                  </wp:positionV>
                  <wp:extent cx="685800" cy="6667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tc>
      </w:tr>
    </w:tbl>
    <w:p w:rsidR="000D42CA" w:rsidRDefault="000D42CA" w:rsidP="00CA4A73">
      <w:pPr>
        <w:jc w:val="center"/>
        <w:rPr>
          <w:b/>
          <w:color w:val="00B050"/>
          <w:sz w:val="36"/>
        </w:rPr>
      </w:pPr>
    </w:p>
    <w:p w:rsidR="00CA4A73" w:rsidRPr="00112A45" w:rsidRDefault="00CA4A73" w:rsidP="00CA4A73">
      <w:pPr>
        <w:jc w:val="center"/>
        <w:rPr>
          <w:b/>
          <w:color w:val="00B050"/>
          <w:sz w:val="36"/>
        </w:rPr>
      </w:pPr>
      <w:r>
        <w:rPr>
          <w:b/>
          <w:color w:val="00B050"/>
          <w:sz w:val="36"/>
        </w:rPr>
        <w:t>Fiche d’information</w:t>
      </w:r>
    </w:p>
    <w:p w:rsidR="00CA4A73" w:rsidRDefault="00CA4A73" w:rsidP="000D42CA">
      <w:pPr>
        <w:shd w:val="clear" w:color="auto" w:fill="FFFFFF" w:themeFill="background1"/>
        <w:jc w:val="center"/>
        <w:rPr>
          <w:rFonts w:ascii="Arial" w:hAnsi="Arial" w:cs="Arial"/>
          <w:b/>
          <w:color w:val="00B050"/>
          <w:sz w:val="40"/>
          <w:szCs w:val="29"/>
        </w:rPr>
      </w:pPr>
    </w:p>
    <w:p w:rsidR="000D42CA" w:rsidRPr="00112A45" w:rsidRDefault="000D42CA" w:rsidP="000D42CA">
      <w:pPr>
        <w:shd w:val="clear" w:color="auto" w:fill="FFFFFF" w:themeFill="background1"/>
        <w:jc w:val="center"/>
        <w:rPr>
          <w:rFonts w:ascii="Arial" w:hAnsi="Arial" w:cs="Arial"/>
          <w:b/>
          <w:color w:val="00B050"/>
          <w:sz w:val="40"/>
          <w:szCs w:val="29"/>
        </w:rPr>
      </w:pPr>
    </w:p>
    <w:p w:rsidR="00CA4A73" w:rsidRPr="000D42CA" w:rsidRDefault="00CA4A73" w:rsidP="000D42CA">
      <w:pPr>
        <w:pBdr>
          <w:bottom w:val="single" w:sz="6" w:space="1" w:color="auto"/>
        </w:pBdr>
        <w:shd w:val="clear" w:color="auto" w:fill="FFFFFF" w:themeFill="background1"/>
        <w:ind w:left="426" w:hanging="852"/>
        <w:rPr>
          <w:rFonts w:ascii="Arial" w:hAnsi="Arial" w:cs="Arial"/>
          <w:b/>
          <w:i/>
          <w:color w:val="FFFFFF" w:themeColor="background1"/>
        </w:rPr>
      </w:pPr>
      <w:r w:rsidRPr="000D42CA">
        <w:rPr>
          <w:rFonts w:ascii="Arial" w:hAnsi="Arial" w:cs="Arial"/>
          <w:b/>
          <w:i/>
          <w:color w:val="0070C0"/>
        </w:rPr>
        <w:t xml:space="preserve">Objet : état de la transposition des directives du cadre harmonisé de gestion des finances publiques de la </w:t>
      </w:r>
      <w:r w:rsidR="000D42CA">
        <w:rPr>
          <w:rFonts w:ascii="Arial" w:hAnsi="Arial" w:cs="Arial"/>
          <w:b/>
          <w:i/>
          <w:color w:val="0070C0"/>
        </w:rPr>
        <w:t>CEMAC (situation au 26 avril 2017)</w:t>
      </w:r>
    </w:p>
    <w:p w:rsidR="00CA4A73" w:rsidRPr="00AA563D" w:rsidRDefault="00CA4A73" w:rsidP="00CA4A73">
      <w:pPr>
        <w:pBdr>
          <w:bottom w:val="single" w:sz="6" w:space="1" w:color="auto"/>
        </w:pBdr>
        <w:ind w:left="426" w:hanging="852"/>
        <w:rPr>
          <w:rFonts w:ascii="Arial" w:hAnsi="Arial" w:cs="Arial"/>
          <w:b/>
          <w:i/>
          <w:color w:val="0070C0"/>
        </w:rPr>
      </w:pPr>
    </w:p>
    <w:p w:rsidR="000D42CA" w:rsidRDefault="000D42CA" w:rsidP="007547CA">
      <w:pPr>
        <w:pStyle w:val="Notedebasdepage"/>
        <w:jc w:val="both"/>
        <w:rPr>
          <w:rFonts w:ascii="Arial" w:hAnsi="Arial" w:cs="Arial"/>
          <w:sz w:val="24"/>
          <w:szCs w:val="24"/>
          <w:lang w:eastAsia="fr-FR"/>
        </w:rPr>
      </w:pPr>
    </w:p>
    <w:p w:rsidR="007547CA" w:rsidRPr="008D463A" w:rsidRDefault="007547CA" w:rsidP="007547CA">
      <w:pPr>
        <w:pStyle w:val="Notedebasdepage"/>
        <w:jc w:val="both"/>
        <w:rPr>
          <w:rFonts w:ascii="Arial" w:hAnsi="Arial" w:cs="Arial"/>
          <w:sz w:val="24"/>
          <w:szCs w:val="24"/>
          <w:lang w:eastAsia="fr-FR"/>
        </w:rPr>
      </w:pPr>
      <w:r w:rsidRPr="00FD5C0A">
        <w:rPr>
          <w:rFonts w:ascii="Arial" w:hAnsi="Arial" w:cs="Arial"/>
          <w:sz w:val="24"/>
          <w:szCs w:val="24"/>
          <w:lang w:eastAsia="fr-FR"/>
        </w:rPr>
        <w:t xml:space="preserve">Pour améliorer la comparabilité des données de finances publiques dans le cadre de l’exercice de la surveillance multilatérale et promouvoir une gestion des finances publiques moderne, efficace et transparente, le Conseil des Ministres de l’UEAC réuni le 19 décembre 2011 à Brazzaville a adopté, six (6) directives constitutives du cadre harmonisé de gestion des finances publiques de la CEMAC. </w:t>
      </w:r>
      <w:r w:rsidRPr="008D463A">
        <w:rPr>
          <w:rFonts w:ascii="Arial" w:hAnsi="Arial" w:cs="Arial"/>
          <w:sz w:val="24"/>
          <w:szCs w:val="24"/>
          <w:lang w:eastAsia="fr-FR"/>
        </w:rPr>
        <w:t>Ces directives portent sur le Code de transparence dans la gestion des finances publiques (CT), les lois de finances (LOLF), le Règlement général de la Comptabilité publique (RGCP), la Nomenclature budgétaire de l’Etat (NBE), le Plan comptable de l’Etat (PCE) et le Tableau des opérations financières de l’Etat (TOFE).</w:t>
      </w:r>
    </w:p>
    <w:p w:rsidR="007547CA" w:rsidRPr="008D463A" w:rsidRDefault="007547CA" w:rsidP="007547CA">
      <w:pPr>
        <w:pStyle w:val="Notedebasdepage"/>
        <w:jc w:val="both"/>
        <w:rPr>
          <w:rFonts w:ascii="Arial" w:hAnsi="Arial" w:cs="Arial"/>
          <w:sz w:val="24"/>
          <w:szCs w:val="24"/>
          <w:lang w:eastAsia="fr-FR"/>
        </w:rPr>
      </w:pPr>
    </w:p>
    <w:p w:rsidR="007547CA" w:rsidRDefault="007547CA" w:rsidP="007547CA">
      <w:pPr>
        <w:jc w:val="both"/>
        <w:rPr>
          <w:rFonts w:ascii="Arial" w:hAnsi="Arial" w:cs="Arial"/>
        </w:rPr>
      </w:pPr>
      <w:r w:rsidRPr="009D1A63">
        <w:rPr>
          <w:rFonts w:ascii="Arial" w:hAnsi="Arial" w:cs="Arial"/>
        </w:rPr>
        <w:t>La mise en œuvre des directives pass</w:t>
      </w:r>
      <w:r>
        <w:rPr>
          <w:rFonts w:ascii="Arial" w:hAnsi="Arial" w:cs="Arial"/>
        </w:rPr>
        <w:t>ant</w:t>
      </w:r>
      <w:r w:rsidRPr="009D1A63">
        <w:rPr>
          <w:rFonts w:ascii="Arial" w:hAnsi="Arial" w:cs="Arial"/>
        </w:rPr>
        <w:t xml:space="preserve"> nécessairement par leurs transpositions préalables dans le droit interne des Etats</w:t>
      </w:r>
      <w:r>
        <w:rPr>
          <w:rFonts w:ascii="Arial" w:hAnsi="Arial" w:cs="Arial"/>
        </w:rPr>
        <w:t xml:space="preserve">, il a été initialement </w:t>
      </w:r>
      <w:r w:rsidRPr="009D1A63">
        <w:rPr>
          <w:rFonts w:ascii="Arial" w:hAnsi="Arial" w:cs="Arial"/>
        </w:rPr>
        <w:t>prescrit un délai de deux ans, c’est-à dire jusqu’au 31 décembre 2013, pour cette transposition</w:t>
      </w:r>
      <w:r>
        <w:rPr>
          <w:rFonts w:ascii="Arial" w:hAnsi="Arial" w:cs="Arial"/>
        </w:rPr>
        <w:t xml:space="preserve"> mais ce délai a fait l’objet d’un report </w:t>
      </w:r>
      <w:r w:rsidRPr="008D463A">
        <w:rPr>
          <w:rFonts w:ascii="Arial" w:hAnsi="Arial" w:cs="Arial"/>
        </w:rPr>
        <w:t>au 31 décembre 2017 par le Conseil des Ministres de l’UEAC en sa séance du 22 décembre 2014</w:t>
      </w:r>
      <w:r>
        <w:rPr>
          <w:rFonts w:ascii="Arial" w:hAnsi="Arial" w:cs="Arial"/>
        </w:rPr>
        <w:t>.</w:t>
      </w:r>
      <w:r w:rsidRPr="00410E3F">
        <w:rPr>
          <w:rFonts w:ascii="Arial" w:hAnsi="Arial" w:cs="Arial"/>
        </w:rPr>
        <w:t xml:space="preserve"> </w:t>
      </w:r>
      <w:r w:rsidRPr="008D463A">
        <w:rPr>
          <w:rFonts w:ascii="Arial" w:hAnsi="Arial" w:cs="Arial"/>
        </w:rPr>
        <w:t xml:space="preserve">La mise en œuvre proprement dite sera progressive et devrait s’inscrire dans des plans d’action </w:t>
      </w:r>
      <w:r w:rsidR="00A26342">
        <w:rPr>
          <w:rFonts w:ascii="Arial" w:hAnsi="Arial" w:cs="Arial"/>
        </w:rPr>
        <w:t>réalistes</w:t>
      </w:r>
      <w:r w:rsidRPr="008D463A">
        <w:rPr>
          <w:rFonts w:ascii="Arial" w:hAnsi="Arial" w:cs="Arial"/>
        </w:rPr>
        <w:t xml:space="preserve"> de reformes des finances publiques sur le moyen et long terme.</w:t>
      </w:r>
    </w:p>
    <w:p w:rsidR="007547CA" w:rsidRDefault="007547CA" w:rsidP="007547CA">
      <w:pPr>
        <w:jc w:val="both"/>
        <w:rPr>
          <w:rFonts w:ascii="Arial" w:hAnsi="Arial" w:cs="Arial"/>
        </w:rPr>
      </w:pPr>
    </w:p>
    <w:p w:rsidR="007547CA" w:rsidRPr="008D463A" w:rsidRDefault="007547CA" w:rsidP="007547CA">
      <w:pPr>
        <w:jc w:val="both"/>
        <w:rPr>
          <w:rFonts w:ascii="Arial" w:hAnsi="Arial" w:cs="Arial"/>
        </w:rPr>
      </w:pPr>
      <w:r>
        <w:rPr>
          <w:rFonts w:ascii="Arial" w:hAnsi="Arial" w:cs="Arial"/>
        </w:rPr>
        <w:t xml:space="preserve">Des progrès sont observés sur la plupart des volets de la mise en œuvre particulièrement en matière de sensibilisation et de dissémination, de renforcement des capacités des acteurs, de la transposition et de suivi-évaluation. </w:t>
      </w:r>
    </w:p>
    <w:p w:rsidR="007547CA" w:rsidRDefault="007547CA" w:rsidP="007547CA">
      <w:pPr>
        <w:pStyle w:val="Notedebasdepage"/>
        <w:jc w:val="both"/>
        <w:rPr>
          <w:rFonts w:ascii="Arial" w:hAnsi="Arial" w:cs="Arial"/>
          <w:sz w:val="24"/>
          <w:szCs w:val="24"/>
          <w:lang w:eastAsia="fr-FR"/>
        </w:rPr>
      </w:pPr>
    </w:p>
    <w:p w:rsidR="000D42CA" w:rsidRPr="000D42CA" w:rsidRDefault="007547CA" w:rsidP="007547CA">
      <w:pPr>
        <w:pStyle w:val="Notedebasdepage"/>
        <w:jc w:val="both"/>
        <w:rPr>
          <w:rFonts w:ascii="Arial" w:hAnsi="Arial" w:cs="Arial"/>
          <w:b/>
          <w:sz w:val="24"/>
          <w:szCs w:val="24"/>
          <w:lang w:eastAsia="fr-FR"/>
        </w:rPr>
      </w:pPr>
      <w:r>
        <w:rPr>
          <w:rFonts w:ascii="Arial" w:hAnsi="Arial" w:cs="Arial"/>
          <w:sz w:val="24"/>
          <w:szCs w:val="24"/>
          <w:lang w:eastAsia="fr-FR"/>
        </w:rPr>
        <w:t>Concernant la transposition, l</w:t>
      </w:r>
      <w:r w:rsidRPr="008D463A">
        <w:rPr>
          <w:rFonts w:ascii="Arial" w:hAnsi="Arial" w:cs="Arial"/>
          <w:sz w:val="24"/>
          <w:szCs w:val="24"/>
          <w:lang w:eastAsia="fr-FR"/>
        </w:rPr>
        <w:t>’état d’avancement de la transposition des directives fait apparaître des progrès manifestes</w:t>
      </w:r>
      <w:r>
        <w:rPr>
          <w:rFonts w:ascii="Arial" w:hAnsi="Arial" w:cs="Arial"/>
          <w:sz w:val="24"/>
          <w:szCs w:val="24"/>
          <w:lang w:eastAsia="fr-FR"/>
        </w:rPr>
        <w:t xml:space="preserve">. </w:t>
      </w:r>
      <w:r w:rsidRPr="000D42CA">
        <w:rPr>
          <w:rFonts w:ascii="Arial" w:hAnsi="Arial" w:cs="Arial"/>
          <w:b/>
          <w:sz w:val="24"/>
          <w:szCs w:val="24"/>
          <w:lang w:eastAsia="fr-FR"/>
        </w:rPr>
        <w:t>Sur les 36 textes à transposer par l’ensemble des pays (soit 6 textes par pays), la situation actuelle indique que</w:t>
      </w:r>
      <w:r w:rsidR="000D42CA" w:rsidRPr="000D42CA">
        <w:rPr>
          <w:rFonts w:ascii="Arial" w:hAnsi="Arial" w:cs="Arial"/>
          <w:b/>
          <w:sz w:val="24"/>
          <w:szCs w:val="24"/>
          <w:lang w:eastAsia="fr-FR"/>
        </w:rPr>
        <w:t> :</w:t>
      </w:r>
    </w:p>
    <w:p w:rsidR="000D42CA" w:rsidRPr="000D42CA" w:rsidRDefault="000D42CA" w:rsidP="000D42CA">
      <w:pPr>
        <w:pStyle w:val="Notedebasdepage"/>
        <w:numPr>
          <w:ilvl w:val="0"/>
          <w:numId w:val="16"/>
        </w:numPr>
        <w:jc w:val="both"/>
        <w:rPr>
          <w:rFonts w:ascii="Arial" w:hAnsi="Arial" w:cs="Arial"/>
          <w:sz w:val="24"/>
          <w:szCs w:val="24"/>
          <w:lang w:eastAsia="fr-FR"/>
        </w:rPr>
      </w:pPr>
      <w:r w:rsidRPr="000D42CA">
        <w:rPr>
          <w:rFonts w:ascii="Arial" w:hAnsi="Arial" w:cs="Arial"/>
          <w:b/>
          <w:sz w:val="24"/>
          <w:szCs w:val="24"/>
          <w:lang w:eastAsia="fr-FR"/>
        </w:rPr>
        <w:t>14 textes, soit 39 % d</w:t>
      </w:r>
      <w:r w:rsidR="007547CA" w:rsidRPr="000D42CA">
        <w:rPr>
          <w:rFonts w:ascii="Arial" w:hAnsi="Arial" w:cs="Arial"/>
          <w:b/>
          <w:sz w:val="24"/>
          <w:szCs w:val="24"/>
          <w:lang w:eastAsia="fr-FR"/>
        </w:rPr>
        <w:t xml:space="preserve">es textes ont été effectivement </w:t>
      </w:r>
      <w:r w:rsidRPr="000D42CA">
        <w:rPr>
          <w:rFonts w:ascii="Arial" w:hAnsi="Arial" w:cs="Arial"/>
          <w:b/>
          <w:sz w:val="24"/>
          <w:szCs w:val="24"/>
          <w:lang w:eastAsia="fr-FR"/>
        </w:rPr>
        <w:t>transposés ;</w:t>
      </w:r>
    </w:p>
    <w:p w:rsidR="000D42CA" w:rsidRPr="000D42CA" w:rsidRDefault="000D42CA" w:rsidP="000D42CA">
      <w:pPr>
        <w:pStyle w:val="Notedebasdepage"/>
        <w:numPr>
          <w:ilvl w:val="0"/>
          <w:numId w:val="16"/>
        </w:numPr>
        <w:jc w:val="both"/>
        <w:rPr>
          <w:rFonts w:ascii="Arial" w:hAnsi="Arial" w:cs="Arial"/>
          <w:sz w:val="24"/>
          <w:szCs w:val="24"/>
          <w:lang w:eastAsia="fr-FR"/>
        </w:rPr>
      </w:pPr>
      <w:r w:rsidRPr="000D42CA">
        <w:rPr>
          <w:rFonts w:ascii="Arial" w:hAnsi="Arial" w:cs="Arial"/>
          <w:b/>
          <w:sz w:val="24"/>
          <w:szCs w:val="24"/>
          <w:lang w:eastAsia="fr-FR"/>
        </w:rPr>
        <w:t xml:space="preserve">14 textes, soit 39 % des textes </w:t>
      </w:r>
      <w:r w:rsidR="007547CA" w:rsidRPr="000D42CA">
        <w:rPr>
          <w:rFonts w:ascii="Arial" w:hAnsi="Arial" w:cs="Arial"/>
          <w:b/>
          <w:sz w:val="24"/>
          <w:szCs w:val="24"/>
          <w:lang w:eastAsia="fr-FR"/>
        </w:rPr>
        <w:t>sont en attente d’adoption au niveau des Etats et</w:t>
      </w:r>
      <w:r w:rsidRPr="000D42CA">
        <w:rPr>
          <w:rFonts w:ascii="Arial" w:hAnsi="Arial" w:cs="Arial"/>
          <w:b/>
          <w:sz w:val="24"/>
          <w:szCs w:val="24"/>
          <w:lang w:eastAsia="fr-FR"/>
        </w:rPr>
        <w:t> ;</w:t>
      </w:r>
    </w:p>
    <w:p w:rsidR="007547CA" w:rsidRPr="000D42CA" w:rsidRDefault="000D42CA" w:rsidP="000D42CA">
      <w:pPr>
        <w:pStyle w:val="Notedebasdepage"/>
        <w:numPr>
          <w:ilvl w:val="0"/>
          <w:numId w:val="16"/>
        </w:numPr>
        <w:jc w:val="both"/>
        <w:rPr>
          <w:rFonts w:ascii="Arial" w:hAnsi="Arial" w:cs="Arial"/>
          <w:sz w:val="24"/>
          <w:szCs w:val="24"/>
          <w:lang w:eastAsia="fr-FR"/>
        </w:rPr>
      </w:pPr>
      <w:r w:rsidRPr="000D42CA">
        <w:rPr>
          <w:rFonts w:ascii="Arial" w:hAnsi="Arial" w:cs="Arial"/>
          <w:b/>
          <w:sz w:val="24"/>
          <w:szCs w:val="24"/>
          <w:lang w:eastAsia="fr-FR"/>
        </w:rPr>
        <w:t xml:space="preserve">8 textes, soit 22 </w:t>
      </w:r>
      <w:r w:rsidR="007547CA" w:rsidRPr="000D42CA">
        <w:rPr>
          <w:rFonts w:ascii="Arial" w:hAnsi="Arial" w:cs="Arial"/>
          <w:b/>
          <w:sz w:val="24"/>
          <w:szCs w:val="24"/>
          <w:lang w:eastAsia="fr-FR"/>
        </w:rPr>
        <w:t xml:space="preserve">% </w:t>
      </w:r>
      <w:r w:rsidRPr="000D42CA">
        <w:rPr>
          <w:rFonts w:ascii="Arial" w:hAnsi="Arial" w:cs="Arial"/>
          <w:b/>
          <w:sz w:val="24"/>
          <w:szCs w:val="24"/>
          <w:lang w:eastAsia="fr-FR"/>
        </w:rPr>
        <w:t>restent</w:t>
      </w:r>
      <w:r w:rsidR="007547CA" w:rsidRPr="000D42CA">
        <w:rPr>
          <w:rFonts w:ascii="Arial" w:hAnsi="Arial" w:cs="Arial"/>
          <w:b/>
          <w:sz w:val="24"/>
          <w:szCs w:val="24"/>
          <w:lang w:eastAsia="fr-FR"/>
        </w:rPr>
        <w:t xml:space="preserve"> sont à transmettre à la Commission et à transposer d’ici la fin de cette année</w:t>
      </w:r>
      <w:r w:rsidR="007547CA" w:rsidRPr="000D42CA">
        <w:rPr>
          <w:rFonts w:ascii="Arial" w:hAnsi="Arial" w:cs="Arial"/>
          <w:sz w:val="24"/>
          <w:szCs w:val="24"/>
          <w:lang w:eastAsia="fr-FR"/>
        </w:rPr>
        <w:t xml:space="preserve">. </w:t>
      </w:r>
    </w:p>
    <w:p w:rsidR="00DE2222" w:rsidRDefault="00DE2222" w:rsidP="007547CA">
      <w:pPr>
        <w:jc w:val="both"/>
        <w:rPr>
          <w:rFonts w:ascii="Arial" w:hAnsi="Arial" w:cs="Arial"/>
        </w:rPr>
      </w:pPr>
    </w:p>
    <w:p w:rsidR="007547CA" w:rsidRPr="008D463A" w:rsidRDefault="007547CA" w:rsidP="007547CA">
      <w:pPr>
        <w:jc w:val="both"/>
        <w:rPr>
          <w:rFonts w:ascii="Arial" w:hAnsi="Arial" w:cs="Arial"/>
        </w:rPr>
      </w:pPr>
      <w:r>
        <w:rPr>
          <w:rFonts w:ascii="Arial" w:hAnsi="Arial" w:cs="Arial"/>
        </w:rPr>
        <w:t xml:space="preserve">Par pays, </w:t>
      </w:r>
      <w:r w:rsidRPr="008D463A">
        <w:rPr>
          <w:rFonts w:ascii="Arial" w:hAnsi="Arial" w:cs="Arial"/>
        </w:rPr>
        <w:t xml:space="preserve">la situation de la transposition </w:t>
      </w:r>
      <w:r>
        <w:rPr>
          <w:rFonts w:ascii="Arial" w:hAnsi="Arial" w:cs="Arial"/>
        </w:rPr>
        <w:t>se présente comme suit</w:t>
      </w:r>
      <w:r w:rsidRPr="008D463A">
        <w:rPr>
          <w:rFonts w:ascii="Arial" w:hAnsi="Arial" w:cs="Arial"/>
        </w:rPr>
        <w:t> :</w:t>
      </w:r>
    </w:p>
    <w:p w:rsidR="007547CA" w:rsidRPr="008D463A" w:rsidRDefault="007547CA" w:rsidP="007547CA">
      <w:pPr>
        <w:jc w:val="both"/>
        <w:rPr>
          <w:rFonts w:ascii="Arial" w:hAnsi="Arial" w:cs="Arial"/>
        </w:rPr>
      </w:pPr>
    </w:p>
    <w:p w:rsidR="007547CA" w:rsidRPr="008D463A" w:rsidRDefault="007547CA" w:rsidP="007547CA">
      <w:pPr>
        <w:jc w:val="both"/>
        <w:rPr>
          <w:rFonts w:ascii="Arial" w:hAnsi="Arial" w:cs="Arial"/>
        </w:rPr>
      </w:pPr>
      <w:r w:rsidRPr="008D463A">
        <w:rPr>
          <w:rFonts w:ascii="Arial" w:hAnsi="Arial" w:cs="Arial"/>
        </w:rPr>
        <w:t xml:space="preserve">Au </w:t>
      </w:r>
      <w:r w:rsidRPr="008D463A">
        <w:rPr>
          <w:rFonts w:ascii="Arial" w:hAnsi="Arial" w:cs="Arial"/>
          <w:b/>
        </w:rPr>
        <w:t>Cameroun</w:t>
      </w:r>
      <w:r w:rsidRPr="008D463A">
        <w:rPr>
          <w:rFonts w:ascii="Arial" w:hAnsi="Arial" w:cs="Arial"/>
        </w:rPr>
        <w:t xml:space="preserve">, </w:t>
      </w:r>
      <w:r>
        <w:rPr>
          <w:rFonts w:ascii="Arial" w:hAnsi="Arial" w:cs="Arial"/>
        </w:rPr>
        <w:t>le</w:t>
      </w:r>
      <w:r w:rsidRPr="008D463A">
        <w:rPr>
          <w:rFonts w:ascii="Arial" w:hAnsi="Arial" w:cs="Arial"/>
        </w:rPr>
        <w:t xml:space="preserve"> projet de loi transposant la directive loi de finances a été </w:t>
      </w:r>
      <w:r>
        <w:rPr>
          <w:rFonts w:ascii="Arial" w:hAnsi="Arial" w:cs="Arial"/>
        </w:rPr>
        <w:t xml:space="preserve">validé sur le plan technique </w:t>
      </w:r>
      <w:r w:rsidRPr="008D463A">
        <w:rPr>
          <w:rFonts w:ascii="Arial" w:hAnsi="Arial" w:cs="Arial"/>
        </w:rPr>
        <w:t xml:space="preserve">et aurait permis d’aligner la loi portant régime financier de l’Etat de 2007 à la directive correspondante. Par ailleurs, les travaux de transposition des </w:t>
      </w:r>
      <w:r>
        <w:rPr>
          <w:rFonts w:ascii="Arial" w:hAnsi="Arial" w:cs="Arial"/>
        </w:rPr>
        <w:t xml:space="preserve">autres </w:t>
      </w:r>
      <w:r w:rsidRPr="008D463A">
        <w:rPr>
          <w:rFonts w:ascii="Arial" w:hAnsi="Arial" w:cs="Arial"/>
        </w:rPr>
        <w:t>directives sont en cours</w:t>
      </w:r>
      <w:r>
        <w:rPr>
          <w:rFonts w:ascii="Arial" w:hAnsi="Arial" w:cs="Arial"/>
        </w:rPr>
        <w:t xml:space="preserve"> et se trouvent dans le circuit d’adoption</w:t>
      </w:r>
      <w:r w:rsidRPr="00274067">
        <w:rPr>
          <w:rFonts w:ascii="Arial" w:hAnsi="Arial" w:cs="Arial"/>
        </w:rPr>
        <w:t xml:space="preserve"> </w:t>
      </w:r>
      <w:r>
        <w:rPr>
          <w:rFonts w:ascii="Arial" w:hAnsi="Arial" w:cs="Arial"/>
        </w:rPr>
        <w:t>technique</w:t>
      </w:r>
      <w:r w:rsidRPr="008D463A">
        <w:rPr>
          <w:rFonts w:ascii="Arial" w:hAnsi="Arial" w:cs="Arial"/>
        </w:rPr>
        <w:t>.</w:t>
      </w:r>
      <w:r>
        <w:rPr>
          <w:rFonts w:ascii="Arial" w:hAnsi="Arial" w:cs="Arial"/>
        </w:rPr>
        <w:t xml:space="preserve"> Il convient </w:t>
      </w:r>
      <w:r>
        <w:rPr>
          <w:rFonts w:ascii="Arial" w:hAnsi="Arial" w:cs="Arial"/>
        </w:rPr>
        <w:lastRenderedPageBreak/>
        <w:t xml:space="preserve">également de souligner que sur la base du </w:t>
      </w:r>
      <w:r w:rsidRPr="008D463A">
        <w:rPr>
          <w:rFonts w:ascii="Arial" w:hAnsi="Arial" w:cs="Arial"/>
        </w:rPr>
        <w:t>régime financier de l’Etat de 2007</w:t>
      </w:r>
      <w:r>
        <w:rPr>
          <w:rFonts w:ascii="Arial" w:hAnsi="Arial" w:cs="Arial"/>
        </w:rPr>
        <w:t xml:space="preserve"> qui a introduit la modernisation de la gestion des finances publiques, le Cameroun élabore et exécute depuis l’exercice 2013 un budget en mode programme.</w:t>
      </w:r>
      <w:r w:rsidRPr="00DB0918">
        <w:rPr>
          <w:rFonts w:ascii="Arial" w:hAnsi="Arial" w:cs="Arial"/>
        </w:rPr>
        <w:t xml:space="preserve"> </w:t>
      </w:r>
    </w:p>
    <w:p w:rsidR="007547CA" w:rsidRPr="008D463A" w:rsidRDefault="007547CA" w:rsidP="007547CA">
      <w:pPr>
        <w:jc w:val="both"/>
        <w:rPr>
          <w:rFonts w:ascii="Arial" w:hAnsi="Arial" w:cs="Arial"/>
        </w:rPr>
      </w:pPr>
    </w:p>
    <w:p w:rsidR="007547CA" w:rsidRDefault="007547CA" w:rsidP="007547CA">
      <w:pPr>
        <w:jc w:val="both"/>
        <w:rPr>
          <w:rFonts w:ascii="Arial" w:hAnsi="Arial" w:cs="Arial"/>
        </w:rPr>
      </w:pPr>
      <w:r w:rsidRPr="008D463A">
        <w:rPr>
          <w:rFonts w:ascii="Arial" w:hAnsi="Arial" w:cs="Arial"/>
        </w:rPr>
        <w:t xml:space="preserve">La </w:t>
      </w:r>
      <w:r w:rsidRPr="008D463A">
        <w:rPr>
          <w:rFonts w:ascii="Arial" w:hAnsi="Arial" w:cs="Arial"/>
          <w:b/>
        </w:rPr>
        <w:t>Centrafrique</w:t>
      </w:r>
      <w:r w:rsidRPr="008D463A" w:rsidDel="00112F11">
        <w:rPr>
          <w:rFonts w:ascii="Arial" w:hAnsi="Arial" w:cs="Arial"/>
        </w:rPr>
        <w:t xml:space="preserve"> </w:t>
      </w:r>
      <w:r>
        <w:rPr>
          <w:rFonts w:ascii="Arial" w:hAnsi="Arial" w:cs="Arial"/>
        </w:rPr>
        <w:t>a</w:t>
      </w:r>
      <w:r w:rsidRPr="008D463A">
        <w:rPr>
          <w:rFonts w:ascii="Arial" w:hAnsi="Arial" w:cs="Arial"/>
        </w:rPr>
        <w:t xml:space="preserve"> soum</w:t>
      </w:r>
      <w:r>
        <w:rPr>
          <w:rFonts w:ascii="Arial" w:hAnsi="Arial" w:cs="Arial"/>
        </w:rPr>
        <w:t>is</w:t>
      </w:r>
      <w:r w:rsidRPr="008D463A">
        <w:rPr>
          <w:rFonts w:ascii="Arial" w:hAnsi="Arial" w:cs="Arial"/>
        </w:rPr>
        <w:t xml:space="preserve"> à la Commission de la CEMAC </w:t>
      </w:r>
      <w:r>
        <w:rPr>
          <w:rFonts w:ascii="Arial" w:hAnsi="Arial" w:cs="Arial"/>
        </w:rPr>
        <w:t>tous les</w:t>
      </w:r>
      <w:r w:rsidRPr="008D463A">
        <w:rPr>
          <w:rFonts w:ascii="Arial" w:hAnsi="Arial" w:cs="Arial"/>
        </w:rPr>
        <w:t xml:space="preserve"> projets de </w:t>
      </w:r>
      <w:r>
        <w:rPr>
          <w:rFonts w:ascii="Arial" w:hAnsi="Arial" w:cs="Arial"/>
        </w:rPr>
        <w:t>texte de transposition.</w:t>
      </w:r>
      <w:r w:rsidR="00140BE1">
        <w:rPr>
          <w:rFonts w:ascii="Arial" w:hAnsi="Arial" w:cs="Arial"/>
        </w:rPr>
        <w:t xml:space="preserve"> Après avis de conformité de la Commission, i</w:t>
      </w:r>
      <w:r w:rsidR="00140BE1" w:rsidRPr="00A30222">
        <w:rPr>
          <w:rFonts w:ascii="Arial" w:eastAsiaTheme="minorHAnsi" w:hAnsi="Arial" w:cs="Arial"/>
          <w:lang w:eastAsia="en-US"/>
        </w:rPr>
        <w:t>ls sont dans le circuit nationa</w:t>
      </w:r>
      <w:r w:rsidR="00140BE1">
        <w:rPr>
          <w:rFonts w:ascii="Arial" w:hAnsi="Arial" w:cs="Arial"/>
        </w:rPr>
        <w:t>l de promulgation et signature.</w:t>
      </w:r>
    </w:p>
    <w:p w:rsidR="007547CA" w:rsidRPr="008D463A" w:rsidRDefault="007547CA" w:rsidP="007547CA">
      <w:pPr>
        <w:jc w:val="both"/>
        <w:rPr>
          <w:rFonts w:ascii="Arial" w:hAnsi="Arial" w:cs="Arial"/>
        </w:rPr>
      </w:pPr>
    </w:p>
    <w:p w:rsidR="007547CA" w:rsidRPr="005C6C48" w:rsidRDefault="007547CA" w:rsidP="007547CA">
      <w:pPr>
        <w:spacing w:line="23" w:lineRule="atLeast"/>
        <w:jc w:val="both"/>
        <w:rPr>
          <w:rFonts w:ascii="Arial" w:hAnsi="Arial" w:cs="Arial"/>
        </w:rPr>
      </w:pPr>
      <w:r w:rsidRPr="005C6C48">
        <w:rPr>
          <w:rFonts w:ascii="Arial" w:hAnsi="Arial" w:cs="Arial"/>
        </w:rPr>
        <w:t xml:space="preserve">Au </w:t>
      </w:r>
      <w:r w:rsidRPr="005C6C48">
        <w:rPr>
          <w:rFonts w:ascii="Arial" w:hAnsi="Arial" w:cs="Arial"/>
          <w:b/>
        </w:rPr>
        <w:t>Congo</w:t>
      </w:r>
      <w:r w:rsidRPr="005C6C48">
        <w:rPr>
          <w:rFonts w:ascii="Arial" w:hAnsi="Arial" w:cs="Arial"/>
        </w:rPr>
        <w:t xml:space="preserve">, </w:t>
      </w:r>
      <w:r w:rsidR="00CA4A73">
        <w:rPr>
          <w:rFonts w:ascii="Arial" w:hAnsi="Arial" w:cs="Arial"/>
        </w:rPr>
        <w:t>tous les textes ont été soumis à l’avis préalable de la Commission à l’exclusion de celui transposant la NBE. </w:t>
      </w:r>
      <w:r>
        <w:rPr>
          <w:rFonts w:ascii="Arial" w:hAnsi="Arial" w:cs="Arial"/>
        </w:rPr>
        <w:t xml:space="preserve">La Commission a fait retour de ses observations. </w:t>
      </w:r>
      <w:r w:rsidR="00140BE1" w:rsidRPr="00872BB7">
        <w:rPr>
          <w:rFonts w:ascii="Arial" w:eastAsia="Calibri" w:hAnsi="Arial" w:cs="Arial"/>
          <w:lang w:eastAsia="en-US"/>
        </w:rPr>
        <w:t>Le code de transparence a été adopté par le Parlement et promulgué.</w:t>
      </w:r>
      <w:r w:rsidR="00140BE1" w:rsidRPr="00872BB7">
        <w:rPr>
          <w:rFonts w:ascii="Arial" w:eastAsia="Calibri" w:hAnsi="Arial" w:cs="Arial"/>
        </w:rPr>
        <w:t xml:space="preserve"> </w:t>
      </w:r>
      <w:r w:rsidR="00CA4A73">
        <w:rPr>
          <w:rFonts w:ascii="Arial" w:hAnsi="Arial" w:cs="Arial"/>
        </w:rPr>
        <w:t xml:space="preserve">Par ailleurs, le projet </w:t>
      </w:r>
      <w:r>
        <w:rPr>
          <w:rFonts w:ascii="Arial" w:hAnsi="Arial" w:cs="Arial"/>
        </w:rPr>
        <w:t>de texte relatif à la NBE pour lequel des efforts sont en train d’être déployés pour sa finalisation</w:t>
      </w:r>
      <w:r w:rsidR="00CA4A73">
        <w:rPr>
          <w:rFonts w:ascii="Arial" w:hAnsi="Arial" w:cs="Arial"/>
        </w:rPr>
        <w:t xml:space="preserve"> a fait l’objet d’un appui spécifique et est en voie d’être soumis à l’avis préalable de la Commission.</w:t>
      </w:r>
    </w:p>
    <w:p w:rsidR="007547CA" w:rsidRPr="00F92283" w:rsidRDefault="007547CA" w:rsidP="007547CA">
      <w:pPr>
        <w:jc w:val="both"/>
        <w:rPr>
          <w:rFonts w:ascii="Arial" w:hAnsi="Arial" w:cs="Arial"/>
          <w:b/>
          <w:color w:val="0070C0"/>
        </w:rPr>
      </w:pPr>
    </w:p>
    <w:p w:rsidR="007547CA" w:rsidRPr="00F92283" w:rsidRDefault="007547CA" w:rsidP="007547CA">
      <w:pPr>
        <w:spacing w:line="23" w:lineRule="atLeast"/>
        <w:jc w:val="both"/>
        <w:rPr>
          <w:rFonts w:ascii="Arial" w:hAnsi="Arial" w:cs="Arial"/>
        </w:rPr>
      </w:pPr>
      <w:r w:rsidRPr="00F92283">
        <w:rPr>
          <w:rFonts w:ascii="Arial" w:hAnsi="Arial" w:cs="Arial"/>
        </w:rPr>
        <w:t xml:space="preserve">Le </w:t>
      </w:r>
      <w:r w:rsidRPr="00F92283">
        <w:rPr>
          <w:rFonts w:ascii="Arial" w:hAnsi="Arial" w:cs="Arial"/>
          <w:b/>
        </w:rPr>
        <w:t>Gabon</w:t>
      </w:r>
      <w:r w:rsidRPr="00F92283">
        <w:rPr>
          <w:rFonts w:ascii="Arial" w:hAnsi="Arial" w:cs="Arial"/>
        </w:rPr>
        <w:t xml:space="preserve"> </w:t>
      </w:r>
      <w:r>
        <w:rPr>
          <w:rFonts w:ascii="Arial" w:hAnsi="Arial" w:cs="Arial"/>
        </w:rPr>
        <w:t xml:space="preserve">et le </w:t>
      </w:r>
      <w:r w:rsidRPr="00CE24D1">
        <w:rPr>
          <w:rFonts w:ascii="Arial" w:hAnsi="Arial" w:cs="Arial"/>
          <w:b/>
        </w:rPr>
        <w:t>Tchad</w:t>
      </w:r>
      <w:r>
        <w:rPr>
          <w:rFonts w:ascii="Arial" w:hAnsi="Arial" w:cs="Arial"/>
        </w:rPr>
        <w:t xml:space="preserve"> ont </w:t>
      </w:r>
      <w:r w:rsidRPr="00F92283">
        <w:rPr>
          <w:rFonts w:ascii="Arial" w:hAnsi="Arial" w:cs="Arial"/>
        </w:rPr>
        <w:t>achevé</w:t>
      </w:r>
      <w:r>
        <w:rPr>
          <w:rFonts w:ascii="Arial" w:hAnsi="Arial" w:cs="Arial"/>
        </w:rPr>
        <w:t xml:space="preserve"> le processus de transposition </w:t>
      </w:r>
      <w:r w:rsidRPr="00F92283">
        <w:rPr>
          <w:rFonts w:ascii="Arial" w:hAnsi="Arial" w:cs="Arial"/>
        </w:rPr>
        <w:t>des 6 directives. Tous les projets de textes ont reçu l’avis conforme de la Commission.</w:t>
      </w:r>
    </w:p>
    <w:p w:rsidR="007547CA" w:rsidRPr="00F92283" w:rsidRDefault="007547CA" w:rsidP="007547CA">
      <w:pPr>
        <w:jc w:val="both"/>
        <w:rPr>
          <w:rFonts w:ascii="Arial" w:hAnsi="Arial" w:cs="Arial"/>
          <w:u w:val="single"/>
        </w:rPr>
      </w:pPr>
    </w:p>
    <w:p w:rsidR="007547CA" w:rsidRPr="008D463A" w:rsidRDefault="007547CA" w:rsidP="007547CA">
      <w:pPr>
        <w:jc w:val="both"/>
        <w:rPr>
          <w:rFonts w:ascii="Arial" w:hAnsi="Arial" w:cs="Arial"/>
        </w:rPr>
      </w:pPr>
      <w:r>
        <w:rPr>
          <w:rFonts w:ascii="Arial" w:hAnsi="Arial" w:cs="Arial"/>
        </w:rPr>
        <w:t>La</w:t>
      </w:r>
      <w:r w:rsidRPr="00F92283">
        <w:rPr>
          <w:rFonts w:ascii="Arial" w:hAnsi="Arial" w:cs="Arial"/>
        </w:rPr>
        <w:t xml:space="preserve"> </w:t>
      </w:r>
      <w:r w:rsidRPr="00F92283">
        <w:rPr>
          <w:rFonts w:ascii="Arial" w:hAnsi="Arial" w:cs="Arial"/>
          <w:b/>
        </w:rPr>
        <w:t>Guinée équatoriale</w:t>
      </w:r>
      <w:r w:rsidRPr="00F92283">
        <w:rPr>
          <w:rFonts w:ascii="Arial" w:hAnsi="Arial" w:cs="Arial"/>
        </w:rPr>
        <w:t>,</w:t>
      </w:r>
      <w:r>
        <w:rPr>
          <w:rFonts w:ascii="Arial" w:hAnsi="Arial" w:cs="Arial"/>
        </w:rPr>
        <w:t xml:space="preserve"> a transmis à la Commission </w:t>
      </w:r>
      <w:r w:rsidR="000D42CA">
        <w:rPr>
          <w:rFonts w:ascii="Arial" w:hAnsi="Arial" w:cs="Arial"/>
        </w:rPr>
        <w:t>5</w:t>
      </w:r>
      <w:r>
        <w:rPr>
          <w:rFonts w:ascii="Arial" w:hAnsi="Arial" w:cs="Arial"/>
        </w:rPr>
        <w:t xml:space="preserve"> projets de textes (LOLF, </w:t>
      </w:r>
      <w:r w:rsidR="000D42CA">
        <w:rPr>
          <w:rFonts w:ascii="Arial" w:hAnsi="Arial" w:cs="Arial"/>
        </w:rPr>
        <w:t xml:space="preserve">RGCP, </w:t>
      </w:r>
      <w:r>
        <w:rPr>
          <w:rFonts w:ascii="Arial" w:hAnsi="Arial" w:cs="Arial"/>
        </w:rPr>
        <w:t xml:space="preserve">NBE, PCE et TOFE). La Commission a fait retour de ses observations sur </w:t>
      </w:r>
      <w:r w:rsidR="00CA4A73">
        <w:rPr>
          <w:rFonts w:ascii="Arial" w:hAnsi="Arial" w:cs="Arial"/>
        </w:rPr>
        <w:t>tous ces projets</w:t>
      </w:r>
      <w:r>
        <w:rPr>
          <w:rFonts w:ascii="Arial" w:hAnsi="Arial" w:cs="Arial"/>
        </w:rPr>
        <w:t>.</w:t>
      </w:r>
    </w:p>
    <w:p w:rsidR="007547CA" w:rsidRPr="008D463A" w:rsidRDefault="007547CA" w:rsidP="007547CA">
      <w:pPr>
        <w:rPr>
          <w:rFonts w:ascii="Arial" w:hAnsi="Arial" w:cs="Arial"/>
        </w:rPr>
      </w:pPr>
    </w:p>
    <w:p w:rsidR="007547CA" w:rsidRDefault="007547CA" w:rsidP="007547CA">
      <w:pPr>
        <w:pStyle w:val="Notedebasdepage"/>
        <w:jc w:val="both"/>
        <w:rPr>
          <w:rFonts w:ascii="Arial" w:hAnsi="Arial" w:cs="Arial"/>
          <w:sz w:val="24"/>
          <w:szCs w:val="24"/>
          <w:lang w:eastAsia="fr-FR"/>
        </w:rPr>
      </w:pPr>
      <w:r>
        <w:rPr>
          <w:rFonts w:ascii="Arial" w:hAnsi="Arial" w:cs="Arial"/>
          <w:sz w:val="24"/>
          <w:szCs w:val="24"/>
          <w:lang w:eastAsia="fr-FR"/>
        </w:rPr>
        <w:t xml:space="preserve">La situation décrite précédemment indique </w:t>
      </w:r>
      <w:r w:rsidR="000D42CA">
        <w:rPr>
          <w:rFonts w:ascii="Arial" w:hAnsi="Arial" w:cs="Arial"/>
          <w:sz w:val="24"/>
          <w:szCs w:val="24"/>
          <w:lang w:eastAsia="fr-FR"/>
        </w:rPr>
        <w:t>seuls 8 textes</w:t>
      </w:r>
      <w:r>
        <w:rPr>
          <w:rFonts w:ascii="Arial" w:hAnsi="Arial" w:cs="Arial"/>
          <w:sz w:val="24"/>
          <w:szCs w:val="24"/>
          <w:lang w:eastAsia="fr-FR"/>
        </w:rPr>
        <w:t xml:space="preserve"> ne sont pas encore parvenus à la Commission pour avis conforme. A cet effet, </w:t>
      </w:r>
      <w:r w:rsidRPr="00B86563">
        <w:rPr>
          <w:rFonts w:ascii="Arial" w:hAnsi="Arial" w:cs="Arial"/>
          <w:sz w:val="24"/>
          <w:szCs w:val="24"/>
          <w:lang w:eastAsia="fr-FR"/>
        </w:rPr>
        <w:t>la Commission de la CEMAC sollicite</w:t>
      </w:r>
      <w:r>
        <w:rPr>
          <w:rFonts w:ascii="Arial" w:hAnsi="Arial" w:cs="Arial"/>
          <w:sz w:val="24"/>
          <w:szCs w:val="24"/>
          <w:lang w:eastAsia="fr-FR"/>
        </w:rPr>
        <w:t>, particulièrement,</w:t>
      </w:r>
      <w:r w:rsidRPr="00B86563">
        <w:rPr>
          <w:rFonts w:ascii="Arial" w:hAnsi="Arial" w:cs="Arial"/>
          <w:sz w:val="24"/>
          <w:szCs w:val="24"/>
          <w:lang w:eastAsia="fr-FR"/>
        </w:rPr>
        <w:t xml:space="preserve"> le soutien des </w:t>
      </w:r>
      <w:r w:rsidR="000D42CA">
        <w:rPr>
          <w:rFonts w:ascii="Arial" w:hAnsi="Arial" w:cs="Arial"/>
          <w:sz w:val="24"/>
          <w:szCs w:val="24"/>
          <w:lang w:eastAsia="fr-FR"/>
        </w:rPr>
        <w:t>Commissions des Finances des Assemblées Nationales</w:t>
      </w:r>
      <w:r>
        <w:rPr>
          <w:rFonts w:ascii="Arial" w:hAnsi="Arial" w:cs="Arial"/>
          <w:sz w:val="24"/>
          <w:szCs w:val="24"/>
          <w:lang w:eastAsia="fr-FR"/>
        </w:rPr>
        <w:t xml:space="preserve"> de</w:t>
      </w:r>
      <w:r w:rsidRPr="00B86563">
        <w:rPr>
          <w:rFonts w:ascii="Arial" w:hAnsi="Arial" w:cs="Arial"/>
          <w:sz w:val="24"/>
          <w:szCs w:val="24"/>
          <w:lang w:eastAsia="fr-FR"/>
        </w:rPr>
        <w:t xml:space="preserve">s Etats </w:t>
      </w:r>
      <w:r>
        <w:rPr>
          <w:rFonts w:ascii="Arial" w:hAnsi="Arial" w:cs="Arial"/>
          <w:sz w:val="24"/>
          <w:szCs w:val="24"/>
          <w:lang w:eastAsia="fr-FR"/>
        </w:rPr>
        <w:t xml:space="preserve">concernés </w:t>
      </w:r>
      <w:r w:rsidRPr="00B86563">
        <w:rPr>
          <w:rFonts w:ascii="Arial" w:hAnsi="Arial" w:cs="Arial"/>
          <w:sz w:val="24"/>
          <w:szCs w:val="24"/>
          <w:lang w:eastAsia="fr-FR"/>
        </w:rPr>
        <w:t xml:space="preserve">pour </w:t>
      </w:r>
      <w:r w:rsidR="000D42CA">
        <w:rPr>
          <w:rFonts w:ascii="Arial" w:hAnsi="Arial" w:cs="Arial"/>
          <w:sz w:val="24"/>
          <w:szCs w:val="24"/>
          <w:lang w:eastAsia="fr-FR"/>
        </w:rPr>
        <w:t>sensibiliser sur</w:t>
      </w:r>
      <w:r>
        <w:rPr>
          <w:rFonts w:ascii="Arial" w:hAnsi="Arial" w:cs="Arial"/>
          <w:sz w:val="24"/>
          <w:szCs w:val="24"/>
          <w:lang w:eastAsia="fr-FR"/>
        </w:rPr>
        <w:t xml:space="preserve"> la transposition dans le délai prescrit afin de lui permettre de déployer des </w:t>
      </w:r>
      <w:r w:rsidRPr="00B86563">
        <w:rPr>
          <w:rFonts w:ascii="Arial" w:hAnsi="Arial" w:cs="Arial"/>
          <w:sz w:val="24"/>
          <w:szCs w:val="24"/>
          <w:lang w:eastAsia="fr-FR"/>
        </w:rPr>
        <w:t xml:space="preserve">efforts pour </w:t>
      </w:r>
      <w:r>
        <w:rPr>
          <w:rFonts w:ascii="Arial" w:hAnsi="Arial" w:cs="Arial"/>
          <w:sz w:val="24"/>
          <w:szCs w:val="24"/>
          <w:lang w:eastAsia="fr-FR"/>
        </w:rPr>
        <w:t>accompagner davantage les Etats dans la mise en œuvre des dispositions novatrices</w:t>
      </w:r>
      <w:r w:rsidRPr="00B86563">
        <w:rPr>
          <w:rFonts w:ascii="Arial" w:hAnsi="Arial" w:cs="Arial"/>
          <w:sz w:val="24"/>
          <w:szCs w:val="24"/>
          <w:lang w:eastAsia="fr-FR"/>
        </w:rPr>
        <w:t>.</w:t>
      </w:r>
      <w:r w:rsidRPr="00B1034E">
        <w:rPr>
          <w:rFonts w:ascii="Arial" w:hAnsi="Arial" w:cs="Arial"/>
          <w:sz w:val="24"/>
          <w:szCs w:val="24"/>
          <w:lang w:eastAsia="fr-FR"/>
        </w:rPr>
        <w:t xml:space="preserve">  </w:t>
      </w:r>
    </w:p>
    <w:p w:rsidR="002E1A40" w:rsidRDefault="002E1A40" w:rsidP="007547CA">
      <w:pPr>
        <w:pStyle w:val="Notedebasdepage"/>
        <w:jc w:val="both"/>
        <w:rPr>
          <w:rFonts w:ascii="Arial" w:hAnsi="Arial" w:cs="Arial"/>
          <w:sz w:val="24"/>
          <w:szCs w:val="24"/>
          <w:lang w:eastAsia="fr-FR"/>
        </w:rPr>
      </w:pPr>
    </w:p>
    <w:p w:rsidR="00A83D54" w:rsidRPr="00A83D54" w:rsidRDefault="00A83D54" w:rsidP="007547CA">
      <w:pPr>
        <w:pStyle w:val="Notedebasdepage"/>
        <w:jc w:val="both"/>
        <w:rPr>
          <w:rFonts w:ascii="Arial" w:hAnsi="Arial" w:cs="Arial"/>
          <w:b/>
          <w:sz w:val="24"/>
          <w:szCs w:val="24"/>
          <w:lang w:eastAsia="fr-FR"/>
        </w:rPr>
      </w:pPr>
      <w:r w:rsidRPr="00A83D54">
        <w:rPr>
          <w:rFonts w:ascii="Arial" w:hAnsi="Arial" w:cs="Arial"/>
          <w:b/>
          <w:sz w:val="24"/>
          <w:szCs w:val="24"/>
          <w:lang w:eastAsia="fr-FR"/>
        </w:rPr>
        <w:t>Commentaire</w:t>
      </w:r>
      <w:r>
        <w:rPr>
          <w:rFonts w:ascii="Arial" w:hAnsi="Arial" w:cs="Arial"/>
          <w:b/>
          <w:sz w:val="24"/>
          <w:szCs w:val="24"/>
          <w:lang w:eastAsia="fr-FR"/>
        </w:rPr>
        <w:t>s</w:t>
      </w:r>
      <w:r w:rsidRPr="00A83D54">
        <w:rPr>
          <w:rFonts w:ascii="Arial" w:hAnsi="Arial" w:cs="Arial"/>
          <w:b/>
          <w:sz w:val="24"/>
          <w:szCs w:val="24"/>
          <w:lang w:eastAsia="fr-FR"/>
        </w:rPr>
        <w:t> :</w:t>
      </w:r>
    </w:p>
    <w:p w:rsidR="00A83D54" w:rsidRDefault="00A83D54" w:rsidP="007547CA">
      <w:pPr>
        <w:pStyle w:val="Notedebasdepage"/>
        <w:jc w:val="both"/>
        <w:rPr>
          <w:rFonts w:ascii="Arial" w:hAnsi="Arial" w:cs="Arial"/>
          <w:sz w:val="24"/>
          <w:szCs w:val="24"/>
          <w:lang w:eastAsia="fr-FR"/>
        </w:rPr>
      </w:pPr>
    </w:p>
    <w:p w:rsidR="00A83D54" w:rsidRPr="000D42CA" w:rsidRDefault="00A83D54" w:rsidP="00A83D54">
      <w:pPr>
        <w:pStyle w:val="Notedebasdepage"/>
        <w:numPr>
          <w:ilvl w:val="0"/>
          <w:numId w:val="17"/>
        </w:numPr>
        <w:jc w:val="both"/>
        <w:rPr>
          <w:rFonts w:ascii="Arial" w:hAnsi="Arial" w:cs="Arial"/>
          <w:sz w:val="24"/>
          <w:szCs w:val="24"/>
          <w:lang w:eastAsia="fr-FR"/>
        </w:rPr>
      </w:pPr>
      <w:r>
        <w:rPr>
          <w:rFonts w:ascii="Arial" w:hAnsi="Arial" w:cs="Arial"/>
          <w:sz w:val="24"/>
          <w:szCs w:val="24"/>
          <w:lang w:eastAsia="fr-FR"/>
        </w:rPr>
        <w:t>Pour les Etats-membres ayant déjà procédé à la transposition des directives, ces législations nationales de transposition sont sans doute insuffisamment diffusées et disponibles (sur les sites internet des ministères en charge des finances notamment). Or cela contribue a renforcer l’appropriation de ces nouvelles normes par l’ensemble des acteurs des finances publiques.</w:t>
      </w:r>
    </w:p>
    <w:p w:rsidR="00A83D54" w:rsidRDefault="00A83D54" w:rsidP="007547CA">
      <w:pPr>
        <w:pStyle w:val="Notedebasdepage"/>
        <w:jc w:val="both"/>
        <w:rPr>
          <w:rFonts w:ascii="Arial" w:hAnsi="Arial" w:cs="Arial"/>
          <w:sz w:val="24"/>
          <w:szCs w:val="24"/>
          <w:lang w:eastAsia="fr-FR"/>
        </w:rPr>
      </w:pPr>
    </w:p>
    <w:p w:rsidR="002E1A40" w:rsidRPr="00B1034E" w:rsidRDefault="00A83D54" w:rsidP="00A83D54">
      <w:pPr>
        <w:pStyle w:val="Notedebasdepage"/>
        <w:numPr>
          <w:ilvl w:val="0"/>
          <w:numId w:val="17"/>
        </w:numPr>
        <w:jc w:val="both"/>
        <w:rPr>
          <w:rFonts w:ascii="Arial" w:hAnsi="Arial" w:cs="Arial"/>
          <w:sz w:val="24"/>
          <w:szCs w:val="24"/>
          <w:lang w:eastAsia="fr-FR"/>
        </w:rPr>
      </w:pPr>
      <w:r>
        <w:rPr>
          <w:rFonts w:ascii="Arial" w:hAnsi="Arial" w:cs="Arial"/>
          <w:sz w:val="24"/>
          <w:szCs w:val="24"/>
          <w:lang w:eastAsia="fr-FR"/>
        </w:rPr>
        <w:t>Une</w:t>
      </w:r>
      <w:r w:rsidR="002E1A40">
        <w:rPr>
          <w:rFonts w:ascii="Arial" w:hAnsi="Arial" w:cs="Arial"/>
          <w:sz w:val="24"/>
          <w:szCs w:val="24"/>
          <w:lang w:eastAsia="fr-FR"/>
        </w:rPr>
        <w:t xml:space="preserve"> vigilance accrue sur l’exactitude de la transposition </w:t>
      </w:r>
      <w:r>
        <w:rPr>
          <w:rFonts w:ascii="Arial" w:hAnsi="Arial" w:cs="Arial"/>
          <w:sz w:val="24"/>
          <w:szCs w:val="24"/>
          <w:lang w:eastAsia="fr-FR"/>
        </w:rPr>
        <w:t>reste nécessaire</w:t>
      </w:r>
      <w:r w:rsidR="002E1A40">
        <w:rPr>
          <w:rFonts w:ascii="Arial" w:hAnsi="Arial" w:cs="Arial"/>
          <w:sz w:val="24"/>
          <w:szCs w:val="24"/>
          <w:lang w:eastAsia="fr-FR"/>
        </w:rPr>
        <w:t xml:space="preserve"> </w:t>
      </w:r>
      <w:r>
        <w:rPr>
          <w:rFonts w:ascii="Arial" w:hAnsi="Arial" w:cs="Arial"/>
          <w:sz w:val="24"/>
          <w:szCs w:val="24"/>
          <w:lang w:eastAsia="fr-FR"/>
        </w:rPr>
        <w:t>à toutes les étapes des travaux de transposition</w:t>
      </w:r>
      <w:r w:rsidR="002E1A40">
        <w:rPr>
          <w:rFonts w:ascii="Arial" w:hAnsi="Arial" w:cs="Arial"/>
          <w:sz w:val="24"/>
          <w:szCs w:val="24"/>
          <w:lang w:eastAsia="fr-FR"/>
        </w:rPr>
        <w:t>.</w:t>
      </w:r>
    </w:p>
    <w:p w:rsidR="007547CA" w:rsidRPr="004E2579" w:rsidRDefault="007547CA" w:rsidP="007547CA">
      <w:pPr>
        <w:jc w:val="both"/>
        <w:rPr>
          <w:rFonts w:ascii="Arial" w:hAnsi="Arial" w:cs="Arial"/>
        </w:rPr>
      </w:pPr>
    </w:p>
    <w:p w:rsidR="000D42CA" w:rsidRDefault="00CA4A73">
      <w:pPr>
        <w:rPr>
          <w:rFonts w:ascii="Arial" w:hAnsi="Arial" w:cs="Arial"/>
        </w:rPr>
        <w:sectPr w:rsidR="000D42CA" w:rsidSect="00CA4A73">
          <w:footerReference w:type="default" r:id="rId10"/>
          <w:type w:val="continuous"/>
          <w:pgSz w:w="11906" w:h="16838"/>
          <w:pgMar w:top="568" w:right="1286" w:bottom="1417" w:left="1417" w:header="708" w:footer="708" w:gutter="0"/>
          <w:cols w:space="708"/>
          <w:docGrid w:linePitch="360"/>
        </w:sectPr>
      </w:pPr>
      <w:r>
        <w:rPr>
          <w:rFonts w:ascii="Arial" w:hAnsi="Arial" w:cs="Arial"/>
        </w:rPr>
        <w:br w:type="page"/>
      </w:r>
    </w:p>
    <w:p w:rsidR="00B10CFA" w:rsidRDefault="008E6F5B" w:rsidP="000D42CA">
      <w:pPr>
        <w:ind w:firstLine="3240"/>
        <w:rPr>
          <w:rFonts w:ascii="Arial" w:hAnsi="Arial" w:cs="Arial"/>
          <w:b/>
        </w:rPr>
      </w:pPr>
      <w:r>
        <w:rPr>
          <w:rFonts w:ascii="Arial" w:hAnsi="Arial" w:cs="Arial"/>
          <w:b/>
        </w:rPr>
        <w:t>ANNEXE</w:t>
      </w:r>
    </w:p>
    <w:p w:rsidR="000B0D59" w:rsidRDefault="000B0D59" w:rsidP="000B0D59">
      <w:pPr>
        <w:ind w:firstLine="3240"/>
        <w:jc w:val="center"/>
        <w:rPr>
          <w:rFonts w:ascii="Arial" w:hAnsi="Arial" w:cs="Arial"/>
        </w:rPr>
      </w:pPr>
    </w:p>
    <w:p w:rsidR="00A92DDC" w:rsidRPr="00926C3B" w:rsidRDefault="00A92DDC" w:rsidP="00A92DDC">
      <w:pPr>
        <w:spacing w:after="160" w:line="259" w:lineRule="auto"/>
        <w:jc w:val="center"/>
        <w:rPr>
          <w:b/>
          <w:sz w:val="28"/>
        </w:rPr>
      </w:pPr>
      <w:r w:rsidRPr="00926C3B">
        <w:rPr>
          <w:b/>
          <w:sz w:val="28"/>
        </w:rPr>
        <w:t>Situation de la transposition</w:t>
      </w:r>
      <w:r>
        <w:rPr>
          <w:b/>
          <w:sz w:val="28"/>
        </w:rPr>
        <w:t xml:space="preserve"> des directives de finances publiques de 2011 à la date du 26 </w:t>
      </w:r>
      <w:r w:rsidR="00CA4A73">
        <w:rPr>
          <w:b/>
          <w:sz w:val="28"/>
        </w:rPr>
        <w:t>avril</w:t>
      </w:r>
      <w:r>
        <w:rPr>
          <w:b/>
          <w:sz w:val="28"/>
        </w:rPr>
        <w:t xml:space="preserve"> 2017</w:t>
      </w:r>
    </w:p>
    <w:tbl>
      <w:tblPr>
        <w:tblStyle w:val="Grilledutableau"/>
        <w:tblW w:w="15310" w:type="dxa"/>
        <w:tblInd w:w="-856" w:type="dxa"/>
        <w:tblLook w:val="04A0" w:firstRow="1" w:lastRow="0" w:firstColumn="1" w:lastColumn="0" w:noHBand="0" w:noVBand="1"/>
      </w:tblPr>
      <w:tblGrid>
        <w:gridCol w:w="2163"/>
        <w:gridCol w:w="2657"/>
        <w:gridCol w:w="2127"/>
        <w:gridCol w:w="2025"/>
        <w:gridCol w:w="2085"/>
        <w:gridCol w:w="2127"/>
        <w:gridCol w:w="2126"/>
      </w:tblGrid>
      <w:tr w:rsidR="00A92DDC" w:rsidRPr="006F6086" w:rsidTr="006E1462">
        <w:tc>
          <w:tcPr>
            <w:tcW w:w="2163" w:type="dxa"/>
            <w:shd w:val="clear" w:color="auto" w:fill="F2F2F2" w:themeFill="background1" w:themeFillShade="F2"/>
          </w:tcPr>
          <w:p w:rsidR="00A92DDC" w:rsidRPr="006F6086" w:rsidRDefault="00A92DDC" w:rsidP="006E1462">
            <w:pPr>
              <w:rPr>
                <w:b/>
                <w:i/>
              </w:rPr>
            </w:pPr>
          </w:p>
          <w:p w:rsidR="00A92DDC" w:rsidRPr="006F6086" w:rsidRDefault="00A92DDC" w:rsidP="006E1462">
            <w:pPr>
              <w:rPr>
                <w:b/>
                <w:i/>
              </w:rPr>
            </w:pPr>
            <w:r w:rsidRPr="006F6086">
              <w:rPr>
                <w:b/>
                <w:i/>
              </w:rPr>
              <w:t>Pays/Directives</w:t>
            </w:r>
          </w:p>
        </w:tc>
        <w:tc>
          <w:tcPr>
            <w:tcW w:w="2657" w:type="dxa"/>
            <w:shd w:val="clear" w:color="auto" w:fill="F2F2F2" w:themeFill="background1" w:themeFillShade="F2"/>
          </w:tcPr>
          <w:p w:rsidR="00A92DDC" w:rsidRPr="00AC3EE3" w:rsidRDefault="00A92DDC" w:rsidP="006E1462">
            <w:pPr>
              <w:jc w:val="center"/>
              <w:rPr>
                <w:b/>
                <w:sz w:val="20"/>
              </w:rPr>
            </w:pPr>
            <w:r w:rsidRPr="00AC3EE3">
              <w:rPr>
                <w:b/>
                <w:sz w:val="20"/>
              </w:rPr>
              <w:t>Code de Transparence</w:t>
            </w:r>
          </w:p>
        </w:tc>
        <w:tc>
          <w:tcPr>
            <w:tcW w:w="2127" w:type="dxa"/>
            <w:shd w:val="clear" w:color="auto" w:fill="F2F2F2" w:themeFill="background1" w:themeFillShade="F2"/>
          </w:tcPr>
          <w:p w:rsidR="00A92DDC" w:rsidRPr="00AC3EE3" w:rsidRDefault="00A92DDC" w:rsidP="006E1462">
            <w:pPr>
              <w:jc w:val="center"/>
              <w:rPr>
                <w:b/>
                <w:sz w:val="20"/>
              </w:rPr>
            </w:pPr>
            <w:r w:rsidRPr="00AC3EE3">
              <w:rPr>
                <w:b/>
                <w:sz w:val="20"/>
              </w:rPr>
              <w:t>Loi de Finances</w:t>
            </w:r>
          </w:p>
        </w:tc>
        <w:tc>
          <w:tcPr>
            <w:tcW w:w="2025" w:type="dxa"/>
            <w:shd w:val="clear" w:color="auto" w:fill="F2F2F2" w:themeFill="background1" w:themeFillShade="F2"/>
          </w:tcPr>
          <w:p w:rsidR="00A92DDC" w:rsidRPr="00AC3EE3" w:rsidRDefault="00A92DDC" w:rsidP="006E1462">
            <w:pPr>
              <w:jc w:val="center"/>
              <w:rPr>
                <w:b/>
                <w:sz w:val="20"/>
              </w:rPr>
            </w:pPr>
            <w:r w:rsidRPr="00AC3EE3">
              <w:rPr>
                <w:b/>
                <w:sz w:val="20"/>
              </w:rPr>
              <w:t>Règlement Général de la Comptabilité Publique</w:t>
            </w:r>
          </w:p>
        </w:tc>
        <w:tc>
          <w:tcPr>
            <w:tcW w:w="2085" w:type="dxa"/>
            <w:shd w:val="clear" w:color="auto" w:fill="F2F2F2" w:themeFill="background1" w:themeFillShade="F2"/>
          </w:tcPr>
          <w:p w:rsidR="00A92DDC" w:rsidRPr="00AC3EE3" w:rsidRDefault="00A92DDC" w:rsidP="006E1462">
            <w:pPr>
              <w:jc w:val="center"/>
              <w:rPr>
                <w:b/>
                <w:sz w:val="20"/>
              </w:rPr>
            </w:pPr>
            <w:r w:rsidRPr="00AC3EE3">
              <w:rPr>
                <w:b/>
                <w:sz w:val="20"/>
              </w:rPr>
              <w:t>Nomenclature Budgétaire de l’Etat</w:t>
            </w:r>
          </w:p>
        </w:tc>
        <w:tc>
          <w:tcPr>
            <w:tcW w:w="2127" w:type="dxa"/>
            <w:shd w:val="clear" w:color="auto" w:fill="F2F2F2" w:themeFill="background1" w:themeFillShade="F2"/>
          </w:tcPr>
          <w:p w:rsidR="00A92DDC" w:rsidRPr="00AC3EE3" w:rsidRDefault="00A92DDC" w:rsidP="006E1462">
            <w:pPr>
              <w:jc w:val="center"/>
              <w:rPr>
                <w:b/>
                <w:sz w:val="20"/>
              </w:rPr>
            </w:pPr>
            <w:r w:rsidRPr="00AC3EE3">
              <w:rPr>
                <w:b/>
                <w:sz w:val="20"/>
              </w:rPr>
              <w:t>Plan Comptable de l’Etat</w:t>
            </w:r>
          </w:p>
        </w:tc>
        <w:tc>
          <w:tcPr>
            <w:tcW w:w="2126" w:type="dxa"/>
            <w:shd w:val="clear" w:color="auto" w:fill="F2F2F2" w:themeFill="background1" w:themeFillShade="F2"/>
          </w:tcPr>
          <w:p w:rsidR="00A92DDC" w:rsidRPr="00AC3EE3" w:rsidRDefault="00A92DDC" w:rsidP="006E1462">
            <w:pPr>
              <w:jc w:val="center"/>
              <w:rPr>
                <w:b/>
                <w:sz w:val="20"/>
              </w:rPr>
            </w:pPr>
            <w:r w:rsidRPr="00AC3EE3">
              <w:rPr>
                <w:b/>
                <w:sz w:val="20"/>
              </w:rPr>
              <w:t>Tableau des Opérations Financières de l’Etat</w:t>
            </w:r>
          </w:p>
        </w:tc>
      </w:tr>
      <w:tr w:rsidR="00A92DDC" w:rsidRPr="006F6086" w:rsidTr="006E1462">
        <w:trPr>
          <w:trHeight w:val="816"/>
        </w:trPr>
        <w:tc>
          <w:tcPr>
            <w:tcW w:w="2163" w:type="dxa"/>
            <w:shd w:val="clear" w:color="auto" w:fill="F2F2F2" w:themeFill="background1" w:themeFillShade="F2"/>
            <w:vAlign w:val="center"/>
          </w:tcPr>
          <w:p w:rsidR="00A92DDC" w:rsidRPr="006F6086" w:rsidRDefault="00A92DDC" w:rsidP="006E1462">
            <w:pPr>
              <w:jc w:val="center"/>
              <w:rPr>
                <w:b/>
              </w:rPr>
            </w:pPr>
            <w:r w:rsidRPr="006F6086">
              <w:rPr>
                <w:b/>
              </w:rPr>
              <w:t>CAMEROUN</w:t>
            </w:r>
          </w:p>
        </w:tc>
        <w:tc>
          <w:tcPr>
            <w:tcW w:w="2657" w:type="dxa"/>
            <w:vAlign w:val="center"/>
          </w:tcPr>
          <w:p w:rsidR="00A92DDC" w:rsidRPr="006F6086" w:rsidRDefault="00A92DDC" w:rsidP="006E1462">
            <w:pPr>
              <w:jc w:val="center"/>
            </w:pPr>
            <w:r w:rsidRPr="006F6086">
              <w:rPr>
                <w:sz w:val="20"/>
              </w:rPr>
              <w:t xml:space="preserve">Projet en cours d’élaboration par le Comité de transposition </w:t>
            </w:r>
          </w:p>
        </w:tc>
        <w:tc>
          <w:tcPr>
            <w:tcW w:w="2127" w:type="dxa"/>
          </w:tcPr>
          <w:p w:rsidR="00A92DDC" w:rsidRPr="006F6086" w:rsidRDefault="00A92DDC" w:rsidP="006E1462">
            <w:pPr>
              <w:jc w:val="center"/>
              <w:rPr>
                <w:sz w:val="20"/>
                <w:szCs w:val="20"/>
              </w:rPr>
            </w:pPr>
            <w:r w:rsidRPr="006F6086">
              <w:rPr>
                <w:sz w:val="20"/>
              </w:rPr>
              <w:t>Projet achevé, se trouve dans le circuit de validation technique</w:t>
            </w:r>
          </w:p>
        </w:tc>
        <w:tc>
          <w:tcPr>
            <w:tcW w:w="2025" w:type="dxa"/>
          </w:tcPr>
          <w:p w:rsidR="00A92DDC" w:rsidRPr="006F6086" w:rsidRDefault="00A92DDC" w:rsidP="006E1462">
            <w:pPr>
              <w:jc w:val="center"/>
              <w:rPr>
                <w:sz w:val="20"/>
                <w:szCs w:val="20"/>
              </w:rPr>
            </w:pPr>
            <w:r w:rsidRPr="006F6086">
              <w:rPr>
                <w:sz w:val="20"/>
              </w:rPr>
              <w:t>Projet achevé, se trouve dans le circuit de validation technique</w:t>
            </w:r>
          </w:p>
        </w:tc>
        <w:tc>
          <w:tcPr>
            <w:tcW w:w="2085" w:type="dxa"/>
          </w:tcPr>
          <w:p w:rsidR="00A92DDC" w:rsidRPr="006F6086" w:rsidRDefault="00A92DDC" w:rsidP="006E1462">
            <w:pPr>
              <w:jc w:val="center"/>
              <w:rPr>
                <w:sz w:val="20"/>
                <w:szCs w:val="20"/>
              </w:rPr>
            </w:pPr>
            <w:r w:rsidRPr="006F6086">
              <w:rPr>
                <w:sz w:val="20"/>
              </w:rPr>
              <w:t>Projet achevé, se trouve dans le circuit de validation technique</w:t>
            </w:r>
          </w:p>
        </w:tc>
        <w:tc>
          <w:tcPr>
            <w:tcW w:w="2127" w:type="dxa"/>
          </w:tcPr>
          <w:p w:rsidR="00A92DDC" w:rsidRPr="006F6086" w:rsidRDefault="00A92DDC" w:rsidP="006E1462">
            <w:pPr>
              <w:jc w:val="center"/>
              <w:rPr>
                <w:sz w:val="20"/>
                <w:szCs w:val="20"/>
              </w:rPr>
            </w:pPr>
            <w:r w:rsidRPr="006F6086">
              <w:rPr>
                <w:sz w:val="20"/>
              </w:rPr>
              <w:t>Projet achevé, se trouve dans le circuit de validation technique</w:t>
            </w:r>
          </w:p>
        </w:tc>
        <w:tc>
          <w:tcPr>
            <w:tcW w:w="2126" w:type="dxa"/>
          </w:tcPr>
          <w:p w:rsidR="00A92DDC" w:rsidRPr="006F6086" w:rsidRDefault="00A92DDC" w:rsidP="006E1462">
            <w:pPr>
              <w:jc w:val="center"/>
            </w:pPr>
            <w:r w:rsidRPr="006F6086">
              <w:rPr>
                <w:sz w:val="20"/>
              </w:rPr>
              <w:t>Projet achevé, se trouve dans le circuit de validation technique</w:t>
            </w:r>
          </w:p>
        </w:tc>
      </w:tr>
      <w:tr w:rsidR="00A92DDC" w:rsidRPr="006F6086" w:rsidTr="00CA4A73">
        <w:trPr>
          <w:trHeight w:val="985"/>
        </w:trPr>
        <w:tc>
          <w:tcPr>
            <w:tcW w:w="2163" w:type="dxa"/>
            <w:shd w:val="clear" w:color="auto" w:fill="F2F2F2" w:themeFill="background1" w:themeFillShade="F2"/>
            <w:vAlign w:val="center"/>
          </w:tcPr>
          <w:p w:rsidR="00A92DDC" w:rsidRPr="006F6086" w:rsidRDefault="00A92DDC" w:rsidP="006E1462">
            <w:pPr>
              <w:jc w:val="center"/>
              <w:rPr>
                <w:b/>
              </w:rPr>
            </w:pPr>
            <w:r w:rsidRPr="006F6086">
              <w:rPr>
                <w:b/>
              </w:rPr>
              <w:t>CENTRAFRIQUE</w:t>
            </w:r>
          </w:p>
        </w:tc>
        <w:tc>
          <w:tcPr>
            <w:tcW w:w="2657" w:type="dxa"/>
            <w:shd w:val="clear" w:color="auto" w:fill="00B0F0"/>
            <w:vAlign w:val="center"/>
          </w:tcPr>
          <w:p w:rsidR="00A92DDC" w:rsidRPr="006F6086" w:rsidRDefault="00A92DDC" w:rsidP="006E1462">
            <w:pPr>
              <w:jc w:val="center"/>
            </w:pPr>
            <w:r w:rsidRPr="006F6086">
              <w:rPr>
                <w:sz w:val="20"/>
              </w:rPr>
              <w:t>Texte ayant reçu l’avis de conformité de la Commission en attente transmission au Parlement</w:t>
            </w:r>
          </w:p>
        </w:tc>
        <w:tc>
          <w:tcPr>
            <w:tcW w:w="2127" w:type="dxa"/>
            <w:shd w:val="clear" w:color="auto" w:fill="00B0F0"/>
            <w:vAlign w:val="center"/>
          </w:tcPr>
          <w:p w:rsidR="00A92DDC" w:rsidRPr="006F6086" w:rsidRDefault="00A92DDC" w:rsidP="006E1462">
            <w:pPr>
              <w:jc w:val="center"/>
            </w:pPr>
            <w:r w:rsidRPr="006F6086">
              <w:rPr>
                <w:sz w:val="20"/>
              </w:rPr>
              <w:t>Texte ayant reçu l’avis de conformité de la Commission en attente transmission au Parlement</w:t>
            </w:r>
          </w:p>
        </w:tc>
        <w:tc>
          <w:tcPr>
            <w:tcW w:w="2025" w:type="dxa"/>
            <w:shd w:val="clear" w:color="auto" w:fill="00B0F0"/>
          </w:tcPr>
          <w:p w:rsidR="00A92DDC" w:rsidRPr="006F6086" w:rsidRDefault="00A92DDC" w:rsidP="006E1462">
            <w:pPr>
              <w:jc w:val="center"/>
            </w:pPr>
            <w:r w:rsidRPr="006F6086">
              <w:rPr>
                <w:sz w:val="20"/>
              </w:rPr>
              <w:t>Texte ayant reçu l’avis de conformité de la Commission</w:t>
            </w:r>
            <w:r>
              <w:rPr>
                <w:sz w:val="20"/>
              </w:rPr>
              <w:t> : en attente de l’adoption des textes législatifs</w:t>
            </w:r>
          </w:p>
        </w:tc>
        <w:tc>
          <w:tcPr>
            <w:tcW w:w="2085" w:type="dxa"/>
            <w:shd w:val="clear" w:color="auto" w:fill="00B0F0"/>
          </w:tcPr>
          <w:p w:rsidR="00A92DDC" w:rsidRPr="006F6086" w:rsidRDefault="00A92DDC" w:rsidP="006E1462">
            <w:pPr>
              <w:jc w:val="center"/>
            </w:pPr>
            <w:r w:rsidRPr="006F6086">
              <w:rPr>
                <w:sz w:val="20"/>
              </w:rPr>
              <w:t>Texte ayant reçu l’avis de conformité de la Commission</w:t>
            </w:r>
            <w:r>
              <w:rPr>
                <w:sz w:val="20"/>
              </w:rPr>
              <w:t> : en attente de l’adoption des textes législatifs</w:t>
            </w:r>
          </w:p>
        </w:tc>
        <w:tc>
          <w:tcPr>
            <w:tcW w:w="2127" w:type="dxa"/>
            <w:shd w:val="clear" w:color="auto" w:fill="00B0F0"/>
          </w:tcPr>
          <w:p w:rsidR="00A92DDC" w:rsidRPr="006F6086" w:rsidRDefault="00A92DDC" w:rsidP="006E1462">
            <w:pPr>
              <w:jc w:val="center"/>
            </w:pPr>
            <w:r w:rsidRPr="006F6086">
              <w:rPr>
                <w:sz w:val="20"/>
              </w:rPr>
              <w:t>Texte ayant reçu l’avis de conformité de la Commission</w:t>
            </w:r>
            <w:r>
              <w:rPr>
                <w:sz w:val="20"/>
              </w:rPr>
              <w:t> : en attente de l’adoption des textes législatifs</w:t>
            </w:r>
          </w:p>
        </w:tc>
        <w:tc>
          <w:tcPr>
            <w:tcW w:w="2126" w:type="dxa"/>
            <w:shd w:val="clear" w:color="auto" w:fill="00B0F0"/>
            <w:vAlign w:val="center"/>
          </w:tcPr>
          <w:p w:rsidR="00A92DDC" w:rsidRPr="006F6086" w:rsidRDefault="00CA4A73" w:rsidP="006E1462">
            <w:pPr>
              <w:jc w:val="center"/>
            </w:pPr>
            <w:r w:rsidRPr="006F6086">
              <w:rPr>
                <w:sz w:val="20"/>
              </w:rPr>
              <w:t>Texte ayant reçu l’avis de conformité de la Commission</w:t>
            </w:r>
          </w:p>
        </w:tc>
      </w:tr>
      <w:tr w:rsidR="00A92DDC" w:rsidRPr="006F6086" w:rsidTr="00CA4A73">
        <w:trPr>
          <w:trHeight w:val="995"/>
        </w:trPr>
        <w:tc>
          <w:tcPr>
            <w:tcW w:w="2163" w:type="dxa"/>
            <w:shd w:val="clear" w:color="auto" w:fill="F2F2F2" w:themeFill="background1" w:themeFillShade="F2"/>
            <w:vAlign w:val="center"/>
          </w:tcPr>
          <w:p w:rsidR="00A92DDC" w:rsidRPr="006F6086" w:rsidRDefault="00A92DDC" w:rsidP="006E1462">
            <w:pPr>
              <w:jc w:val="center"/>
              <w:rPr>
                <w:b/>
              </w:rPr>
            </w:pPr>
            <w:r w:rsidRPr="006F6086">
              <w:rPr>
                <w:b/>
              </w:rPr>
              <w:t>CONGO</w:t>
            </w:r>
          </w:p>
        </w:tc>
        <w:tc>
          <w:tcPr>
            <w:tcW w:w="2657" w:type="dxa"/>
            <w:shd w:val="clear" w:color="auto" w:fill="00B050"/>
            <w:vAlign w:val="center"/>
          </w:tcPr>
          <w:p w:rsidR="00A92DDC" w:rsidRPr="006F6086" w:rsidRDefault="00A92DDC" w:rsidP="006E1462">
            <w:pPr>
              <w:jc w:val="center"/>
              <w:rPr>
                <w:sz w:val="20"/>
                <w:szCs w:val="20"/>
              </w:rPr>
            </w:pPr>
            <w:r w:rsidRPr="006F6086">
              <w:rPr>
                <w:sz w:val="20"/>
                <w:szCs w:val="20"/>
              </w:rPr>
              <w:t xml:space="preserve">Texte </w:t>
            </w:r>
            <w:r>
              <w:rPr>
                <w:sz w:val="20"/>
                <w:szCs w:val="20"/>
              </w:rPr>
              <w:t>adopté par l’Assemblée nationale en Décembre 2016</w:t>
            </w:r>
          </w:p>
        </w:tc>
        <w:tc>
          <w:tcPr>
            <w:tcW w:w="2127" w:type="dxa"/>
            <w:shd w:val="clear" w:color="auto" w:fill="00B050"/>
            <w:vAlign w:val="center"/>
          </w:tcPr>
          <w:p w:rsidR="00A92DDC" w:rsidRPr="006F6086" w:rsidRDefault="007547CA" w:rsidP="006E1462">
            <w:pPr>
              <w:jc w:val="center"/>
              <w:rPr>
                <w:sz w:val="20"/>
                <w:szCs w:val="20"/>
              </w:rPr>
            </w:pPr>
            <w:r w:rsidRPr="006F6086">
              <w:rPr>
                <w:sz w:val="20"/>
              </w:rPr>
              <w:t xml:space="preserve">Texte </w:t>
            </w:r>
            <w:r w:rsidR="00430D97">
              <w:rPr>
                <w:sz w:val="20"/>
              </w:rPr>
              <w:t>adopté par l’Assemblée nationale en mars 2017</w:t>
            </w:r>
          </w:p>
        </w:tc>
        <w:tc>
          <w:tcPr>
            <w:tcW w:w="2025" w:type="dxa"/>
            <w:shd w:val="clear" w:color="auto" w:fill="00B0F0"/>
          </w:tcPr>
          <w:p w:rsidR="00A92DDC" w:rsidRPr="006F6086" w:rsidRDefault="00CA4A73" w:rsidP="006E1462">
            <w:pPr>
              <w:jc w:val="center"/>
            </w:pPr>
            <w:r w:rsidRPr="006F6086">
              <w:rPr>
                <w:sz w:val="20"/>
              </w:rPr>
              <w:t>Texte ayant reçu l’avis de conformité de la Commission</w:t>
            </w:r>
          </w:p>
        </w:tc>
        <w:tc>
          <w:tcPr>
            <w:tcW w:w="2085" w:type="dxa"/>
          </w:tcPr>
          <w:p w:rsidR="00A92DDC" w:rsidRPr="006F6086" w:rsidRDefault="00A92DDC" w:rsidP="006E1462">
            <w:pPr>
              <w:jc w:val="center"/>
              <w:rPr>
                <w:sz w:val="20"/>
                <w:szCs w:val="20"/>
              </w:rPr>
            </w:pPr>
            <w:r w:rsidRPr="006F6086">
              <w:rPr>
                <w:sz w:val="20"/>
              </w:rPr>
              <w:t xml:space="preserve">Projet en cours d’élaboration par le Comité de transposition </w:t>
            </w:r>
          </w:p>
        </w:tc>
        <w:tc>
          <w:tcPr>
            <w:tcW w:w="2127" w:type="dxa"/>
            <w:shd w:val="clear" w:color="auto" w:fill="00B0F0"/>
          </w:tcPr>
          <w:p w:rsidR="00A92DDC" w:rsidRPr="006F6086" w:rsidRDefault="00CA4A73" w:rsidP="006E1462">
            <w:pPr>
              <w:jc w:val="center"/>
              <w:rPr>
                <w:sz w:val="20"/>
                <w:szCs w:val="20"/>
              </w:rPr>
            </w:pPr>
            <w:r w:rsidRPr="006F6086">
              <w:rPr>
                <w:sz w:val="20"/>
              </w:rPr>
              <w:t>Texte ayant reçu l’avis de conformité de la Commission</w:t>
            </w:r>
          </w:p>
        </w:tc>
        <w:tc>
          <w:tcPr>
            <w:tcW w:w="2126" w:type="dxa"/>
            <w:shd w:val="clear" w:color="auto" w:fill="00B0F0"/>
          </w:tcPr>
          <w:p w:rsidR="00A92DDC" w:rsidRPr="006F6086" w:rsidRDefault="00CA4A73" w:rsidP="006E1462">
            <w:pPr>
              <w:jc w:val="center"/>
              <w:rPr>
                <w:sz w:val="20"/>
                <w:szCs w:val="20"/>
              </w:rPr>
            </w:pPr>
            <w:r w:rsidRPr="006F6086">
              <w:rPr>
                <w:sz w:val="20"/>
              </w:rPr>
              <w:t>Texte ayant reçu l’avis de conformité de la Commission</w:t>
            </w:r>
          </w:p>
        </w:tc>
      </w:tr>
      <w:tr w:rsidR="00A92DDC" w:rsidRPr="006F6086" w:rsidTr="006E1462">
        <w:trPr>
          <w:trHeight w:val="883"/>
        </w:trPr>
        <w:tc>
          <w:tcPr>
            <w:tcW w:w="2163" w:type="dxa"/>
            <w:shd w:val="clear" w:color="auto" w:fill="F2F2F2" w:themeFill="background1" w:themeFillShade="F2"/>
            <w:vAlign w:val="center"/>
          </w:tcPr>
          <w:p w:rsidR="00A92DDC" w:rsidRPr="006F6086" w:rsidRDefault="00A92DDC" w:rsidP="006E1462">
            <w:pPr>
              <w:jc w:val="center"/>
              <w:rPr>
                <w:b/>
              </w:rPr>
            </w:pPr>
            <w:r w:rsidRPr="006F6086">
              <w:rPr>
                <w:b/>
              </w:rPr>
              <w:t>GABON</w:t>
            </w:r>
          </w:p>
        </w:tc>
        <w:tc>
          <w:tcPr>
            <w:tcW w:w="2657" w:type="dxa"/>
            <w:shd w:val="clear" w:color="auto" w:fill="00B050"/>
            <w:vAlign w:val="center"/>
          </w:tcPr>
          <w:p w:rsidR="00A92DDC" w:rsidRPr="006F6086" w:rsidRDefault="00A92DDC" w:rsidP="006E1462">
            <w:pPr>
              <w:jc w:val="center"/>
              <w:rPr>
                <w:sz w:val="20"/>
                <w:szCs w:val="20"/>
              </w:rPr>
            </w:pPr>
            <w:r w:rsidRPr="006F6086">
              <w:rPr>
                <w:sz w:val="20"/>
                <w:szCs w:val="20"/>
              </w:rPr>
              <w:t>Texte promulgué en Janvier 2015</w:t>
            </w:r>
          </w:p>
        </w:tc>
        <w:tc>
          <w:tcPr>
            <w:tcW w:w="2127" w:type="dxa"/>
            <w:shd w:val="clear" w:color="auto" w:fill="00B050"/>
            <w:vAlign w:val="center"/>
          </w:tcPr>
          <w:p w:rsidR="00A92DDC" w:rsidRPr="006F6086" w:rsidRDefault="00A92DDC" w:rsidP="006E1462">
            <w:pPr>
              <w:jc w:val="center"/>
              <w:rPr>
                <w:sz w:val="20"/>
                <w:szCs w:val="20"/>
              </w:rPr>
            </w:pPr>
            <w:r w:rsidRPr="006F6086">
              <w:rPr>
                <w:sz w:val="20"/>
                <w:szCs w:val="20"/>
              </w:rPr>
              <w:t>Texte promulgué en Mai 2015</w:t>
            </w:r>
          </w:p>
        </w:tc>
        <w:tc>
          <w:tcPr>
            <w:tcW w:w="2025" w:type="dxa"/>
            <w:shd w:val="clear" w:color="auto" w:fill="00B050"/>
            <w:vAlign w:val="center"/>
          </w:tcPr>
          <w:p w:rsidR="00A92DDC" w:rsidRPr="006F6086" w:rsidRDefault="00A92DDC" w:rsidP="006E1462">
            <w:pPr>
              <w:jc w:val="center"/>
            </w:pPr>
            <w:r w:rsidRPr="006F6086">
              <w:rPr>
                <w:sz w:val="20"/>
                <w:szCs w:val="20"/>
              </w:rPr>
              <w:t>Texte signé en</w:t>
            </w:r>
            <w:r w:rsidRPr="006F6086">
              <w:rPr>
                <w:sz w:val="20"/>
              </w:rPr>
              <w:t xml:space="preserve"> Février 2016</w:t>
            </w:r>
          </w:p>
        </w:tc>
        <w:tc>
          <w:tcPr>
            <w:tcW w:w="2085" w:type="dxa"/>
            <w:shd w:val="clear" w:color="auto" w:fill="00B050"/>
            <w:vAlign w:val="center"/>
          </w:tcPr>
          <w:p w:rsidR="00A92DDC" w:rsidRPr="006F6086" w:rsidRDefault="00A92DDC" w:rsidP="006E1462">
            <w:pPr>
              <w:jc w:val="center"/>
              <w:rPr>
                <w:sz w:val="20"/>
                <w:szCs w:val="20"/>
              </w:rPr>
            </w:pPr>
            <w:r w:rsidRPr="006F6086">
              <w:rPr>
                <w:sz w:val="20"/>
                <w:szCs w:val="20"/>
              </w:rPr>
              <w:t>Texte signé en</w:t>
            </w:r>
            <w:r w:rsidRPr="006F6086">
              <w:rPr>
                <w:sz w:val="20"/>
              </w:rPr>
              <w:t xml:space="preserve"> Avril 2016</w:t>
            </w:r>
          </w:p>
        </w:tc>
        <w:tc>
          <w:tcPr>
            <w:tcW w:w="2127" w:type="dxa"/>
            <w:shd w:val="clear" w:color="auto" w:fill="00B050"/>
            <w:vAlign w:val="center"/>
          </w:tcPr>
          <w:p w:rsidR="00A92DDC" w:rsidRPr="006F6086" w:rsidRDefault="00A92DDC" w:rsidP="006E1462">
            <w:pPr>
              <w:jc w:val="center"/>
            </w:pPr>
            <w:r w:rsidRPr="006F6086">
              <w:rPr>
                <w:sz w:val="20"/>
                <w:szCs w:val="20"/>
              </w:rPr>
              <w:t>Texte signé en</w:t>
            </w:r>
            <w:r w:rsidRPr="006F6086">
              <w:rPr>
                <w:sz w:val="20"/>
              </w:rPr>
              <w:t xml:space="preserve"> Octobre 2015</w:t>
            </w:r>
          </w:p>
        </w:tc>
        <w:tc>
          <w:tcPr>
            <w:tcW w:w="2126" w:type="dxa"/>
            <w:shd w:val="clear" w:color="auto" w:fill="00B050"/>
            <w:vAlign w:val="center"/>
          </w:tcPr>
          <w:p w:rsidR="00A92DDC" w:rsidRPr="006F6086" w:rsidRDefault="00A92DDC" w:rsidP="006E1462">
            <w:pPr>
              <w:jc w:val="center"/>
              <w:rPr>
                <w:sz w:val="20"/>
                <w:szCs w:val="20"/>
              </w:rPr>
            </w:pPr>
            <w:r w:rsidRPr="006F6086">
              <w:rPr>
                <w:sz w:val="20"/>
                <w:szCs w:val="20"/>
              </w:rPr>
              <w:t>Texte signé en</w:t>
            </w:r>
            <w:r w:rsidRPr="006F6086">
              <w:rPr>
                <w:sz w:val="20"/>
              </w:rPr>
              <w:t xml:space="preserve"> </w:t>
            </w:r>
            <w:r>
              <w:rPr>
                <w:sz w:val="20"/>
              </w:rPr>
              <w:t>mai 2016</w:t>
            </w:r>
          </w:p>
        </w:tc>
      </w:tr>
      <w:tr w:rsidR="00CA4A73" w:rsidRPr="006F6086" w:rsidTr="00CA4A73">
        <w:trPr>
          <w:trHeight w:val="741"/>
        </w:trPr>
        <w:tc>
          <w:tcPr>
            <w:tcW w:w="2163" w:type="dxa"/>
            <w:shd w:val="clear" w:color="auto" w:fill="F2F2F2" w:themeFill="background1" w:themeFillShade="F2"/>
            <w:vAlign w:val="center"/>
          </w:tcPr>
          <w:p w:rsidR="00CA4A73" w:rsidRPr="006F6086" w:rsidRDefault="00CA4A73" w:rsidP="00CA4A73">
            <w:pPr>
              <w:jc w:val="center"/>
              <w:rPr>
                <w:b/>
              </w:rPr>
            </w:pPr>
            <w:r w:rsidRPr="006F6086">
              <w:rPr>
                <w:b/>
              </w:rPr>
              <w:t>GUINEE EQUATORIALE</w:t>
            </w:r>
          </w:p>
        </w:tc>
        <w:tc>
          <w:tcPr>
            <w:tcW w:w="2657" w:type="dxa"/>
            <w:vAlign w:val="center"/>
          </w:tcPr>
          <w:p w:rsidR="00CA4A73" w:rsidRPr="006F6086" w:rsidRDefault="00CA4A73" w:rsidP="00CA4A73">
            <w:pPr>
              <w:jc w:val="center"/>
            </w:pPr>
          </w:p>
        </w:tc>
        <w:tc>
          <w:tcPr>
            <w:tcW w:w="2127" w:type="dxa"/>
            <w:shd w:val="clear" w:color="auto" w:fill="00B0F0"/>
          </w:tcPr>
          <w:p w:rsidR="00CA4A73" w:rsidRPr="006F6086" w:rsidRDefault="00CA4A73" w:rsidP="00CA4A73">
            <w:pPr>
              <w:jc w:val="center"/>
            </w:pPr>
            <w:r w:rsidRPr="006F6086">
              <w:rPr>
                <w:sz w:val="20"/>
              </w:rPr>
              <w:t>Texte ayant reçu l’avis de conformité de la Commission</w:t>
            </w:r>
          </w:p>
        </w:tc>
        <w:tc>
          <w:tcPr>
            <w:tcW w:w="2025" w:type="dxa"/>
            <w:shd w:val="clear" w:color="auto" w:fill="00B0F0"/>
          </w:tcPr>
          <w:p w:rsidR="00CA4A73" w:rsidRPr="006F6086" w:rsidRDefault="00CA4A73" w:rsidP="00CA4A73">
            <w:pPr>
              <w:jc w:val="center"/>
            </w:pPr>
            <w:r w:rsidRPr="006F6086">
              <w:rPr>
                <w:sz w:val="20"/>
              </w:rPr>
              <w:t>Texte ayant reçu l’avis de conformité de la Commission</w:t>
            </w:r>
          </w:p>
        </w:tc>
        <w:tc>
          <w:tcPr>
            <w:tcW w:w="2085" w:type="dxa"/>
            <w:shd w:val="clear" w:color="auto" w:fill="00B0F0"/>
            <w:vAlign w:val="center"/>
          </w:tcPr>
          <w:p w:rsidR="00CA4A73" w:rsidRPr="006F6086" w:rsidRDefault="00CA4A73" w:rsidP="00CA4A73">
            <w:pPr>
              <w:jc w:val="center"/>
              <w:rPr>
                <w:sz w:val="20"/>
                <w:szCs w:val="20"/>
              </w:rPr>
            </w:pPr>
            <w:r w:rsidRPr="006F6086">
              <w:rPr>
                <w:sz w:val="20"/>
              </w:rPr>
              <w:t>Texte ayant reçu l’avis de conformité de la Commission</w:t>
            </w:r>
          </w:p>
        </w:tc>
        <w:tc>
          <w:tcPr>
            <w:tcW w:w="2127" w:type="dxa"/>
            <w:shd w:val="clear" w:color="auto" w:fill="00B0F0"/>
          </w:tcPr>
          <w:p w:rsidR="00CA4A73" w:rsidRPr="006F6086" w:rsidRDefault="00CA4A73" w:rsidP="00CA4A73">
            <w:pPr>
              <w:jc w:val="center"/>
            </w:pPr>
            <w:r w:rsidRPr="006F6086">
              <w:rPr>
                <w:sz w:val="20"/>
              </w:rPr>
              <w:t>Texte ayant reçu l’avis de conformité de la Commission</w:t>
            </w:r>
          </w:p>
        </w:tc>
        <w:tc>
          <w:tcPr>
            <w:tcW w:w="2126" w:type="dxa"/>
            <w:shd w:val="clear" w:color="auto" w:fill="00B0F0"/>
          </w:tcPr>
          <w:p w:rsidR="00CA4A73" w:rsidRPr="006F6086" w:rsidRDefault="00CA4A73" w:rsidP="00CA4A73">
            <w:pPr>
              <w:jc w:val="center"/>
            </w:pPr>
            <w:r w:rsidRPr="006F6086">
              <w:rPr>
                <w:sz w:val="20"/>
              </w:rPr>
              <w:t>Texte ayant reçu l’avis de conformité de la Commission</w:t>
            </w:r>
          </w:p>
        </w:tc>
      </w:tr>
      <w:tr w:rsidR="00A92DDC" w:rsidRPr="006F6086" w:rsidTr="006E1462">
        <w:trPr>
          <w:trHeight w:val="881"/>
        </w:trPr>
        <w:tc>
          <w:tcPr>
            <w:tcW w:w="2163" w:type="dxa"/>
            <w:shd w:val="clear" w:color="auto" w:fill="F2F2F2" w:themeFill="background1" w:themeFillShade="F2"/>
            <w:vAlign w:val="center"/>
          </w:tcPr>
          <w:p w:rsidR="00A92DDC" w:rsidRPr="006F6086" w:rsidRDefault="00A92DDC" w:rsidP="006E1462">
            <w:pPr>
              <w:jc w:val="center"/>
              <w:rPr>
                <w:b/>
              </w:rPr>
            </w:pPr>
            <w:r w:rsidRPr="006F6086">
              <w:rPr>
                <w:b/>
              </w:rPr>
              <w:t>TCHAD</w:t>
            </w:r>
          </w:p>
        </w:tc>
        <w:tc>
          <w:tcPr>
            <w:tcW w:w="2657" w:type="dxa"/>
            <w:shd w:val="clear" w:color="auto" w:fill="00B050"/>
            <w:vAlign w:val="center"/>
          </w:tcPr>
          <w:p w:rsidR="00A92DDC" w:rsidRPr="006F6086" w:rsidRDefault="00A92DDC" w:rsidP="006E1462">
            <w:pPr>
              <w:jc w:val="center"/>
            </w:pPr>
            <w:r>
              <w:rPr>
                <w:sz w:val="20"/>
                <w:szCs w:val="20"/>
              </w:rPr>
              <w:t>Texte adopté par l’Assemblée Nationale le 11 Novembre 2016</w:t>
            </w:r>
          </w:p>
        </w:tc>
        <w:tc>
          <w:tcPr>
            <w:tcW w:w="2127" w:type="dxa"/>
            <w:shd w:val="clear" w:color="auto" w:fill="00B050"/>
            <w:vAlign w:val="center"/>
          </w:tcPr>
          <w:p w:rsidR="00A92DDC" w:rsidRPr="006F6086" w:rsidRDefault="00A92DDC" w:rsidP="006E1462">
            <w:pPr>
              <w:jc w:val="center"/>
              <w:rPr>
                <w:sz w:val="20"/>
              </w:rPr>
            </w:pPr>
            <w:r w:rsidRPr="006F6086">
              <w:rPr>
                <w:sz w:val="20"/>
                <w:szCs w:val="20"/>
              </w:rPr>
              <w:t>Texte promulgué en</w:t>
            </w:r>
            <w:r w:rsidRPr="006F6086">
              <w:rPr>
                <w:sz w:val="20"/>
              </w:rPr>
              <w:t xml:space="preserve"> Février 2014</w:t>
            </w:r>
          </w:p>
        </w:tc>
        <w:tc>
          <w:tcPr>
            <w:tcW w:w="2025" w:type="dxa"/>
            <w:shd w:val="clear" w:color="auto" w:fill="00B050"/>
            <w:vAlign w:val="center"/>
          </w:tcPr>
          <w:p w:rsidR="00A92DDC" w:rsidRPr="006F6086" w:rsidRDefault="00A92DDC" w:rsidP="006E1462">
            <w:pPr>
              <w:jc w:val="center"/>
              <w:rPr>
                <w:sz w:val="20"/>
              </w:rPr>
            </w:pPr>
            <w:r w:rsidRPr="006F6086">
              <w:rPr>
                <w:sz w:val="20"/>
                <w:szCs w:val="20"/>
              </w:rPr>
              <w:t>Texte signé en</w:t>
            </w:r>
            <w:r w:rsidRPr="006F6086">
              <w:rPr>
                <w:sz w:val="20"/>
              </w:rPr>
              <w:t xml:space="preserve"> Avril 2015</w:t>
            </w:r>
          </w:p>
        </w:tc>
        <w:tc>
          <w:tcPr>
            <w:tcW w:w="2085" w:type="dxa"/>
            <w:shd w:val="clear" w:color="auto" w:fill="00B050"/>
            <w:vAlign w:val="center"/>
          </w:tcPr>
          <w:p w:rsidR="00A92DDC" w:rsidRPr="006F6086" w:rsidRDefault="00A92DDC" w:rsidP="006E1462">
            <w:pPr>
              <w:jc w:val="center"/>
            </w:pPr>
            <w:r w:rsidRPr="006F6086">
              <w:rPr>
                <w:sz w:val="20"/>
                <w:szCs w:val="20"/>
              </w:rPr>
              <w:t>Texte signé en</w:t>
            </w:r>
            <w:r w:rsidRPr="006F6086">
              <w:rPr>
                <w:sz w:val="20"/>
              </w:rPr>
              <w:t xml:space="preserve"> Avril 2016</w:t>
            </w:r>
          </w:p>
        </w:tc>
        <w:tc>
          <w:tcPr>
            <w:tcW w:w="2127" w:type="dxa"/>
            <w:shd w:val="clear" w:color="auto" w:fill="00B050"/>
            <w:vAlign w:val="center"/>
          </w:tcPr>
          <w:p w:rsidR="00A92DDC" w:rsidRPr="006F6086" w:rsidRDefault="00A92DDC" w:rsidP="006E1462">
            <w:pPr>
              <w:jc w:val="center"/>
            </w:pPr>
            <w:r w:rsidRPr="006F6086">
              <w:rPr>
                <w:sz w:val="20"/>
                <w:szCs w:val="20"/>
              </w:rPr>
              <w:t>Texte signé en</w:t>
            </w:r>
            <w:r w:rsidRPr="006F6086">
              <w:rPr>
                <w:sz w:val="20"/>
              </w:rPr>
              <w:t xml:space="preserve"> Avril 2016</w:t>
            </w:r>
          </w:p>
        </w:tc>
        <w:tc>
          <w:tcPr>
            <w:tcW w:w="2126" w:type="dxa"/>
            <w:shd w:val="clear" w:color="auto" w:fill="00B050"/>
            <w:vAlign w:val="center"/>
          </w:tcPr>
          <w:p w:rsidR="00A92DDC" w:rsidRPr="006F6086" w:rsidRDefault="00A92DDC" w:rsidP="006E1462">
            <w:pPr>
              <w:jc w:val="center"/>
            </w:pPr>
            <w:r w:rsidRPr="006F6086">
              <w:rPr>
                <w:sz w:val="20"/>
                <w:szCs w:val="20"/>
              </w:rPr>
              <w:t>Texte signé en</w:t>
            </w:r>
            <w:r w:rsidRPr="006F6086">
              <w:rPr>
                <w:sz w:val="20"/>
              </w:rPr>
              <w:t xml:space="preserve"> Avril 2016</w:t>
            </w:r>
          </w:p>
        </w:tc>
      </w:tr>
    </w:tbl>
    <w:p w:rsidR="00A92DDC" w:rsidRDefault="00A92DDC" w:rsidP="00A92DDC">
      <w:pPr>
        <w:rPr>
          <w:sz w:val="20"/>
          <w:szCs w:val="20"/>
          <w:bdr w:val="single" w:sz="4" w:space="0" w:color="auto"/>
          <w:shd w:val="clear" w:color="auto" w:fill="0070C0"/>
        </w:rPr>
      </w:pPr>
    </w:p>
    <w:p w:rsidR="00A92DDC" w:rsidRPr="006F6086" w:rsidRDefault="00A92DDC" w:rsidP="00A92DDC">
      <w:pPr>
        <w:rPr>
          <w:sz w:val="20"/>
          <w:szCs w:val="20"/>
        </w:rPr>
      </w:pPr>
      <w:r w:rsidRPr="006F6086">
        <w:rPr>
          <w:sz w:val="20"/>
          <w:szCs w:val="20"/>
          <w:bdr w:val="single" w:sz="4" w:space="0" w:color="auto"/>
          <w:shd w:val="clear" w:color="auto" w:fill="0070C0"/>
        </w:rPr>
        <w:t xml:space="preserve">  </w:t>
      </w:r>
      <w:r w:rsidRPr="006F6086">
        <w:rPr>
          <w:sz w:val="20"/>
          <w:szCs w:val="20"/>
          <w:bdr w:val="single" w:sz="4" w:space="0" w:color="auto"/>
          <w:shd w:val="clear" w:color="auto" w:fill="4F81BD" w:themeFill="accent1"/>
        </w:rPr>
        <w:t xml:space="preserve">                </w:t>
      </w:r>
      <w:r w:rsidRPr="006F6086">
        <w:rPr>
          <w:sz w:val="20"/>
          <w:szCs w:val="20"/>
          <w:bdr w:val="single" w:sz="4" w:space="0" w:color="auto"/>
          <w:shd w:val="clear" w:color="auto" w:fill="0070C0"/>
        </w:rPr>
        <w:t xml:space="preserve"> </w:t>
      </w:r>
      <w:r w:rsidRPr="006F6086">
        <w:rPr>
          <w:sz w:val="20"/>
          <w:szCs w:val="20"/>
        </w:rPr>
        <w:t xml:space="preserve"> Texte ayant reçu l’avis de conformité et en attente de signature </w:t>
      </w:r>
      <w:r w:rsidRPr="006F6086">
        <w:rPr>
          <w:sz w:val="20"/>
          <w:szCs w:val="20"/>
        </w:rPr>
        <w:tab/>
      </w:r>
      <w:r w:rsidRPr="006F6086">
        <w:rPr>
          <w:sz w:val="20"/>
          <w:szCs w:val="20"/>
          <w:bdr w:val="single" w:sz="4" w:space="0" w:color="auto"/>
          <w:shd w:val="clear" w:color="auto" w:fill="FFC000"/>
        </w:rPr>
        <w:t xml:space="preserve"> </w:t>
      </w:r>
      <w:r w:rsidRPr="006F6086">
        <w:rPr>
          <w:sz w:val="20"/>
          <w:szCs w:val="20"/>
          <w:bdr w:val="single" w:sz="4" w:space="0" w:color="auto"/>
          <w:shd w:val="clear" w:color="auto" w:fill="8064A2" w:themeFill="accent4"/>
        </w:rPr>
        <w:t xml:space="preserve">                  </w:t>
      </w:r>
      <w:r w:rsidRPr="006F6086">
        <w:rPr>
          <w:sz w:val="20"/>
          <w:szCs w:val="20"/>
        </w:rPr>
        <w:t xml:space="preserve"> </w:t>
      </w:r>
    </w:p>
    <w:p w:rsidR="00A92DDC" w:rsidRDefault="00A92DDC" w:rsidP="00A92DDC">
      <w:r w:rsidRPr="006F6086">
        <w:rPr>
          <w:sz w:val="20"/>
          <w:szCs w:val="20"/>
          <w:bdr w:val="single" w:sz="4" w:space="0" w:color="auto"/>
          <w:shd w:val="clear" w:color="auto" w:fill="00B050"/>
        </w:rPr>
        <w:t xml:space="preserve">                  </w:t>
      </w:r>
      <w:r w:rsidRPr="006F6086">
        <w:rPr>
          <w:sz w:val="20"/>
          <w:szCs w:val="20"/>
          <w:bdr w:val="single" w:sz="4" w:space="0" w:color="auto"/>
          <w:shd w:val="clear" w:color="auto" w:fill="0070C0"/>
        </w:rPr>
        <w:t xml:space="preserve"> </w:t>
      </w:r>
      <w:r w:rsidRPr="006F6086">
        <w:rPr>
          <w:sz w:val="20"/>
          <w:szCs w:val="20"/>
        </w:rPr>
        <w:t xml:space="preserve"> Texte effectivement transposé  </w:t>
      </w:r>
      <w:r w:rsidRPr="006F6086">
        <w:rPr>
          <w:sz w:val="20"/>
          <w:szCs w:val="20"/>
        </w:rPr>
        <w:tab/>
      </w:r>
      <w:r w:rsidRPr="006F6086">
        <w:rPr>
          <w:sz w:val="20"/>
          <w:szCs w:val="20"/>
        </w:rPr>
        <w:tab/>
      </w:r>
      <w:r w:rsidRPr="006F6086">
        <w:rPr>
          <w:sz w:val="20"/>
          <w:szCs w:val="20"/>
        </w:rPr>
        <w:tab/>
      </w:r>
      <w:r w:rsidRPr="006F6086">
        <w:rPr>
          <w:sz w:val="20"/>
          <w:szCs w:val="20"/>
        </w:rPr>
        <w:tab/>
      </w:r>
      <w:r w:rsidRPr="006F6086">
        <w:rPr>
          <w:sz w:val="20"/>
          <w:szCs w:val="20"/>
        </w:rPr>
        <w:tab/>
      </w:r>
      <w:r w:rsidRPr="006F6086">
        <w:rPr>
          <w:sz w:val="20"/>
          <w:szCs w:val="20"/>
          <w:bdr w:val="single" w:sz="4" w:space="0" w:color="auto"/>
          <w:shd w:val="clear" w:color="auto" w:fill="FFFFFF" w:themeFill="background1"/>
        </w:rPr>
        <w:t xml:space="preserve">                   </w:t>
      </w:r>
      <w:r w:rsidRPr="006F6086">
        <w:rPr>
          <w:sz w:val="20"/>
          <w:szCs w:val="20"/>
          <w:shd w:val="clear" w:color="auto" w:fill="FFFFFF" w:themeFill="background1"/>
        </w:rPr>
        <w:t xml:space="preserve"> </w:t>
      </w:r>
      <w:r w:rsidRPr="006F6086">
        <w:rPr>
          <w:sz w:val="20"/>
          <w:szCs w:val="20"/>
        </w:rPr>
        <w:t xml:space="preserve"> Projet de texte au niveau du Comité en dans le circuit de validation</w:t>
      </w:r>
      <w:r>
        <w:rPr>
          <w:sz w:val="20"/>
          <w:szCs w:val="20"/>
        </w:rPr>
        <w:t xml:space="preserve"> technique</w:t>
      </w:r>
    </w:p>
    <w:sectPr w:rsidR="00A92DDC" w:rsidSect="00A92DDC">
      <w:pgSz w:w="16838" w:h="11906" w:orient="landscape"/>
      <w:pgMar w:top="1417" w:right="1417" w:bottom="128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E6" w:rsidRDefault="00DC47E6" w:rsidP="002D5E19">
      <w:r>
        <w:separator/>
      </w:r>
    </w:p>
  </w:endnote>
  <w:endnote w:type="continuationSeparator" w:id="0">
    <w:p w:rsidR="00DC47E6" w:rsidRDefault="00DC47E6" w:rsidP="002D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59685"/>
      <w:docPartObj>
        <w:docPartGallery w:val="Page Numbers (Bottom of Page)"/>
        <w:docPartUnique/>
      </w:docPartObj>
    </w:sdtPr>
    <w:sdtEndPr/>
    <w:sdtContent>
      <w:p w:rsidR="007547CA" w:rsidRDefault="007547CA">
        <w:pPr>
          <w:pStyle w:val="Pieddepage"/>
          <w:jc w:val="right"/>
        </w:pPr>
        <w:r>
          <w:fldChar w:fldCharType="begin"/>
        </w:r>
        <w:r>
          <w:instrText>PAGE   \* MERGEFORMAT</w:instrText>
        </w:r>
        <w:r>
          <w:fldChar w:fldCharType="separate"/>
        </w:r>
        <w:r w:rsidR="00DC47E6">
          <w:rPr>
            <w:noProof/>
          </w:rPr>
          <w:t>1</w:t>
        </w:r>
        <w:r>
          <w:fldChar w:fldCharType="end"/>
        </w:r>
      </w:p>
    </w:sdtContent>
  </w:sdt>
  <w:p w:rsidR="007547CA" w:rsidRDefault="007547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E6" w:rsidRDefault="00DC47E6" w:rsidP="002D5E19">
      <w:r>
        <w:separator/>
      </w:r>
    </w:p>
  </w:footnote>
  <w:footnote w:type="continuationSeparator" w:id="0">
    <w:p w:rsidR="00DC47E6" w:rsidRDefault="00DC47E6" w:rsidP="002D5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1AE4B2"/>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02727C85"/>
    <w:multiLevelType w:val="hybridMultilevel"/>
    <w:tmpl w:val="76DAFE22"/>
    <w:lvl w:ilvl="0" w:tplc="CBE46754">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15:restartNumberingAfterBreak="0">
    <w:nsid w:val="06A22FF2"/>
    <w:multiLevelType w:val="hybridMultilevel"/>
    <w:tmpl w:val="35A092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4424D"/>
    <w:multiLevelType w:val="hybridMultilevel"/>
    <w:tmpl w:val="7AEC2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4A462D"/>
    <w:multiLevelType w:val="hybridMultilevel"/>
    <w:tmpl w:val="DAC8D79E"/>
    <w:lvl w:ilvl="0" w:tplc="8F6CCFB4">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04B71BA"/>
    <w:multiLevelType w:val="hybridMultilevel"/>
    <w:tmpl w:val="D5720BF6"/>
    <w:lvl w:ilvl="0" w:tplc="A98E5010">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B2685"/>
    <w:multiLevelType w:val="multilevel"/>
    <w:tmpl w:val="3A4E2FFA"/>
    <w:lvl w:ilvl="0">
      <w:start w:val="1"/>
      <w:numFmt w:val="decimal"/>
      <w:lvlText w:val="%1."/>
      <w:lvlJc w:val="left"/>
      <w:pPr>
        <w:ind w:left="720" w:hanging="360"/>
      </w:pPr>
      <w:rPr>
        <w:rFonts w:hint="default"/>
        <w:b/>
      </w:rPr>
    </w:lvl>
    <w:lvl w:ilvl="1">
      <w:start w:val="1"/>
      <w:numFmt w:val="bullet"/>
      <w:lvlText w:val="o"/>
      <w:lvlJc w:val="left"/>
      <w:pPr>
        <w:ind w:left="1211" w:hanging="360"/>
      </w:pPr>
      <w:rPr>
        <w:rFonts w:ascii="Courier New" w:hAnsi="Courier New" w:cs="Courier New"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7" w15:restartNumberingAfterBreak="0">
    <w:nsid w:val="3702139B"/>
    <w:multiLevelType w:val="hybridMultilevel"/>
    <w:tmpl w:val="CA0E181C"/>
    <w:lvl w:ilvl="0" w:tplc="1EA069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1F5C53"/>
    <w:multiLevelType w:val="hybridMultilevel"/>
    <w:tmpl w:val="02BC65B6"/>
    <w:lvl w:ilvl="0" w:tplc="90F6D6D8">
      <w:start w:val="1"/>
      <w:numFmt w:val="decimal"/>
      <w:lvlText w:val="%1)"/>
      <w:lvlJc w:val="left"/>
      <w:pPr>
        <w:ind w:left="720" w:hanging="360"/>
      </w:pPr>
      <w:rPr>
        <w:rFonts w:ascii="Times New Roman" w:eastAsia="Times New Roman" w:hAnsi="Times New Roman" w:cs="Times New Roman"/>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F636CD"/>
    <w:multiLevelType w:val="hybridMultilevel"/>
    <w:tmpl w:val="281C3B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F53301"/>
    <w:multiLevelType w:val="hybridMultilevel"/>
    <w:tmpl w:val="83A0104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15:restartNumberingAfterBreak="0">
    <w:nsid w:val="6682519D"/>
    <w:multiLevelType w:val="multilevel"/>
    <w:tmpl w:val="803047EA"/>
    <w:lvl w:ilvl="0">
      <w:start w:val="1"/>
      <w:numFmt w:val="decimal"/>
      <w:lvlText w:val="%1."/>
      <w:lvlJc w:val="left"/>
      <w:pPr>
        <w:ind w:left="720" w:hanging="360"/>
      </w:pPr>
      <w:rPr>
        <w:rFonts w:hint="default"/>
        <w:b/>
      </w:rPr>
    </w:lvl>
    <w:lvl w:ilvl="1">
      <w:start w:val="1"/>
      <w:numFmt w:val="bullet"/>
      <w:lvlText w:val="o"/>
      <w:lvlJc w:val="left"/>
      <w:pPr>
        <w:ind w:left="1211" w:hanging="360"/>
      </w:pPr>
      <w:rPr>
        <w:rFonts w:ascii="Courier New" w:hAnsi="Courier New" w:cs="Courier New"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12" w15:restartNumberingAfterBreak="0">
    <w:nsid w:val="6CF5456C"/>
    <w:multiLevelType w:val="multilevel"/>
    <w:tmpl w:val="F864A0B8"/>
    <w:lvl w:ilvl="0">
      <w:start w:val="1"/>
      <w:numFmt w:val="bullet"/>
      <w:lvlText w:val="o"/>
      <w:lvlJc w:val="left"/>
      <w:pPr>
        <w:ind w:left="720" w:hanging="360"/>
      </w:pPr>
      <w:rPr>
        <w:rFonts w:ascii="Courier New" w:hAnsi="Courier New" w:cs="Courier New" w:hint="default"/>
        <w:b/>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13" w15:restartNumberingAfterBreak="0">
    <w:nsid w:val="708F74C4"/>
    <w:multiLevelType w:val="hybridMultilevel"/>
    <w:tmpl w:val="A12247D2"/>
    <w:lvl w:ilvl="0" w:tplc="040C0009">
      <w:start w:val="1"/>
      <w:numFmt w:val="bullet"/>
      <w:lvlText w:val=""/>
      <w:lvlJc w:val="left"/>
      <w:pPr>
        <w:ind w:left="2062" w:hanging="360"/>
      </w:pPr>
      <w:rPr>
        <w:rFonts w:ascii="Wingdings" w:hAnsi="Wingdings"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14" w15:restartNumberingAfterBreak="0">
    <w:nsid w:val="712976CB"/>
    <w:multiLevelType w:val="hybridMultilevel"/>
    <w:tmpl w:val="4D1EDC38"/>
    <w:lvl w:ilvl="0" w:tplc="040C000F">
      <w:start w:val="1"/>
      <w:numFmt w:val="decimal"/>
      <w:lvlText w:val="%1."/>
      <w:lvlJc w:val="left"/>
      <w:pPr>
        <w:ind w:left="1797" w:hanging="360"/>
      </w:pPr>
      <w:rPr>
        <w:rFonts w:hint="default"/>
        <w:lang w:val="fr-FR"/>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5" w15:restartNumberingAfterBreak="0">
    <w:nsid w:val="71CA283B"/>
    <w:multiLevelType w:val="hybridMultilevel"/>
    <w:tmpl w:val="2FF67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2091FF6"/>
    <w:multiLevelType w:val="hybridMultilevel"/>
    <w:tmpl w:val="8CD2D34C"/>
    <w:lvl w:ilvl="0" w:tplc="8FCE6F5C">
      <w:start w:val="428"/>
      <w:numFmt w:val="bullet"/>
      <w:lvlText w:val="-"/>
      <w:lvlJc w:val="left"/>
      <w:pPr>
        <w:ind w:left="720" w:hanging="360"/>
      </w:pPr>
      <w:rPr>
        <w:rFonts w:ascii="Arial" w:eastAsia="Times New Roman" w:hAnsi="Arial" w:cs="Arial" w:hint="default"/>
        <w:b/>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5"/>
  </w:num>
  <w:num w:numId="5">
    <w:abstractNumId w:val="0"/>
  </w:num>
  <w:num w:numId="6">
    <w:abstractNumId w:val="8"/>
  </w:num>
  <w:num w:numId="7">
    <w:abstractNumId w:val="5"/>
  </w:num>
  <w:num w:numId="8">
    <w:abstractNumId w:val="9"/>
  </w:num>
  <w:num w:numId="9">
    <w:abstractNumId w:val="14"/>
  </w:num>
  <w:num w:numId="10">
    <w:abstractNumId w:val="6"/>
  </w:num>
  <w:num w:numId="11">
    <w:abstractNumId w:val="2"/>
  </w:num>
  <w:num w:numId="12">
    <w:abstractNumId w:val="12"/>
  </w:num>
  <w:num w:numId="13">
    <w:abstractNumId w:val="11"/>
  </w:num>
  <w:num w:numId="14">
    <w:abstractNumId w:val="7"/>
  </w:num>
  <w:num w:numId="15">
    <w:abstractNumId w:val="13"/>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42"/>
    <w:rsid w:val="00007542"/>
    <w:rsid w:val="00034C53"/>
    <w:rsid w:val="00040034"/>
    <w:rsid w:val="0004003D"/>
    <w:rsid w:val="00057F0E"/>
    <w:rsid w:val="0009664E"/>
    <w:rsid w:val="000A49B8"/>
    <w:rsid w:val="000A5817"/>
    <w:rsid w:val="000B0D59"/>
    <w:rsid w:val="000B132F"/>
    <w:rsid w:val="000B1F41"/>
    <w:rsid w:val="000B4C5E"/>
    <w:rsid w:val="000B691C"/>
    <w:rsid w:val="000D42CA"/>
    <w:rsid w:val="000F5103"/>
    <w:rsid w:val="00112F11"/>
    <w:rsid w:val="00113136"/>
    <w:rsid w:val="00130846"/>
    <w:rsid w:val="0013722B"/>
    <w:rsid w:val="00140BE1"/>
    <w:rsid w:val="00141AB4"/>
    <w:rsid w:val="00141FBF"/>
    <w:rsid w:val="001512B7"/>
    <w:rsid w:val="0017650C"/>
    <w:rsid w:val="00184360"/>
    <w:rsid w:val="00193728"/>
    <w:rsid w:val="00194AEB"/>
    <w:rsid w:val="001B7915"/>
    <w:rsid w:val="001C66FA"/>
    <w:rsid w:val="001E2F63"/>
    <w:rsid w:val="001E52C7"/>
    <w:rsid w:val="00206487"/>
    <w:rsid w:val="0022203C"/>
    <w:rsid w:val="00244CE2"/>
    <w:rsid w:val="002505B0"/>
    <w:rsid w:val="00260E7B"/>
    <w:rsid w:val="00274067"/>
    <w:rsid w:val="00281006"/>
    <w:rsid w:val="002868DE"/>
    <w:rsid w:val="002A2A32"/>
    <w:rsid w:val="002B7EF3"/>
    <w:rsid w:val="002C275C"/>
    <w:rsid w:val="002D5E19"/>
    <w:rsid w:val="002E1A40"/>
    <w:rsid w:val="002F1082"/>
    <w:rsid w:val="002F3E71"/>
    <w:rsid w:val="0032351E"/>
    <w:rsid w:val="003B7D83"/>
    <w:rsid w:val="003C1662"/>
    <w:rsid w:val="003D2BAD"/>
    <w:rsid w:val="003D38AA"/>
    <w:rsid w:val="003F049D"/>
    <w:rsid w:val="00407CFD"/>
    <w:rsid w:val="0041035F"/>
    <w:rsid w:val="00413804"/>
    <w:rsid w:val="00415A72"/>
    <w:rsid w:val="0042747E"/>
    <w:rsid w:val="00427559"/>
    <w:rsid w:val="00430D97"/>
    <w:rsid w:val="004354BB"/>
    <w:rsid w:val="00441CDE"/>
    <w:rsid w:val="00442E83"/>
    <w:rsid w:val="00455439"/>
    <w:rsid w:val="0046436F"/>
    <w:rsid w:val="00467BC5"/>
    <w:rsid w:val="004749C5"/>
    <w:rsid w:val="004874E1"/>
    <w:rsid w:val="004961E6"/>
    <w:rsid w:val="004C0325"/>
    <w:rsid w:val="004C3425"/>
    <w:rsid w:val="004C6EFD"/>
    <w:rsid w:val="004E2579"/>
    <w:rsid w:val="004F7436"/>
    <w:rsid w:val="00506A04"/>
    <w:rsid w:val="00506EB7"/>
    <w:rsid w:val="00530622"/>
    <w:rsid w:val="0053299F"/>
    <w:rsid w:val="0054253D"/>
    <w:rsid w:val="00565424"/>
    <w:rsid w:val="00567CED"/>
    <w:rsid w:val="005772E5"/>
    <w:rsid w:val="0059180C"/>
    <w:rsid w:val="00594501"/>
    <w:rsid w:val="005C4F9E"/>
    <w:rsid w:val="005C7DD9"/>
    <w:rsid w:val="005D65D6"/>
    <w:rsid w:val="005E75A0"/>
    <w:rsid w:val="005F6599"/>
    <w:rsid w:val="006237F1"/>
    <w:rsid w:val="0063019D"/>
    <w:rsid w:val="00655DE3"/>
    <w:rsid w:val="00656548"/>
    <w:rsid w:val="0065729E"/>
    <w:rsid w:val="006573FF"/>
    <w:rsid w:val="00666FE0"/>
    <w:rsid w:val="00681D58"/>
    <w:rsid w:val="00690BBC"/>
    <w:rsid w:val="00694026"/>
    <w:rsid w:val="00694CEE"/>
    <w:rsid w:val="006A2AE3"/>
    <w:rsid w:val="006A3E14"/>
    <w:rsid w:val="006B5FE9"/>
    <w:rsid w:val="006E1462"/>
    <w:rsid w:val="006E7B25"/>
    <w:rsid w:val="006F20E5"/>
    <w:rsid w:val="006F2679"/>
    <w:rsid w:val="00752D35"/>
    <w:rsid w:val="0075353B"/>
    <w:rsid w:val="007547CA"/>
    <w:rsid w:val="00755AED"/>
    <w:rsid w:val="007746EF"/>
    <w:rsid w:val="00784A35"/>
    <w:rsid w:val="007B40F8"/>
    <w:rsid w:val="007C2D1B"/>
    <w:rsid w:val="007E2A31"/>
    <w:rsid w:val="007E3942"/>
    <w:rsid w:val="007F32F3"/>
    <w:rsid w:val="00803FD9"/>
    <w:rsid w:val="00811221"/>
    <w:rsid w:val="00826D5B"/>
    <w:rsid w:val="0083292E"/>
    <w:rsid w:val="00877480"/>
    <w:rsid w:val="00894F11"/>
    <w:rsid w:val="008A08CB"/>
    <w:rsid w:val="008A12E7"/>
    <w:rsid w:val="008B532A"/>
    <w:rsid w:val="008E6F5B"/>
    <w:rsid w:val="008F2EEB"/>
    <w:rsid w:val="008F346E"/>
    <w:rsid w:val="008F56C0"/>
    <w:rsid w:val="00917551"/>
    <w:rsid w:val="009203E7"/>
    <w:rsid w:val="009215B6"/>
    <w:rsid w:val="009273C8"/>
    <w:rsid w:val="009407CC"/>
    <w:rsid w:val="00941B84"/>
    <w:rsid w:val="009550E8"/>
    <w:rsid w:val="00961F51"/>
    <w:rsid w:val="009639DC"/>
    <w:rsid w:val="00965CAF"/>
    <w:rsid w:val="009702B2"/>
    <w:rsid w:val="00974219"/>
    <w:rsid w:val="009B7A6A"/>
    <w:rsid w:val="009C24DF"/>
    <w:rsid w:val="009D052E"/>
    <w:rsid w:val="009D2F21"/>
    <w:rsid w:val="009E13AF"/>
    <w:rsid w:val="009E781E"/>
    <w:rsid w:val="009F04D1"/>
    <w:rsid w:val="00A0228D"/>
    <w:rsid w:val="00A21FBE"/>
    <w:rsid w:val="00A26342"/>
    <w:rsid w:val="00A513A7"/>
    <w:rsid w:val="00A56034"/>
    <w:rsid w:val="00A83D54"/>
    <w:rsid w:val="00A840B2"/>
    <w:rsid w:val="00A92DDC"/>
    <w:rsid w:val="00A97D5C"/>
    <w:rsid w:val="00AA2135"/>
    <w:rsid w:val="00AA5A62"/>
    <w:rsid w:val="00AB1E95"/>
    <w:rsid w:val="00AB5D59"/>
    <w:rsid w:val="00AC384D"/>
    <w:rsid w:val="00AC5E0D"/>
    <w:rsid w:val="00AC63F5"/>
    <w:rsid w:val="00AD4336"/>
    <w:rsid w:val="00B10729"/>
    <w:rsid w:val="00B10CFA"/>
    <w:rsid w:val="00B21FCF"/>
    <w:rsid w:val="00B2283B"/>
    <w:rsid w:val="00B22EF7"/>
    <w:rsid w:val="00B412F4"/>
    <w:rsid w:val="00B42773"/>
    <w:rsid w:val="00B4701D"/>
    <w:rsid w:val="00B539BA"/>
    <w:rsid w:val="00B61527"/>
    <w:rsid w:val="00B74561"/>
    <w:rsid w:val="00B75046"/>
    <w:rsid w:val="00B95AED"/>
    <w:rsid w:val="00B97591"/>
    <w:rsid w:val="00B975F1"/>
    <w:rsid w:val="00C2552B"/>
    <w:rsid w:val="00C3466E"/>
    <w:rsid w:val="00C713C3"/>
    <w:rsid w:val="00C947BD"/>
    <w:rsid w:val="00CA4A73"/>
    <w:rsid w:val="00CB066D"/>
    <w:rsid w:val="00CD0DA8"/>
    <w:rsid w:val="00CD1A79"/>
    <w:rsid w:val="00D00B90"/>
    <w:rsid w:val="00D0703C"/>
    <w:rsid w:val="00D1266C"/>
    <w:rsid w:val="00D16D08"/>
    <w:rsid w:val="00D17A0F"/>
    <w:rsid w:val="00D42676"/>
    <w:rsid w:val="00D479DE"/>
    <w:rsid w:val="00D5749A"/>
    <w:rsid w:val="00D77805"/>
    <w:rsid w:val="00D8648A"/>
    <w:rsid w:val="00D86A49"/>
    <w:rsid w:val="00D91CBD"/>
    <w:rsid w:val="00DA28FA"/>
    <w:rsid w:val="00DB2E21"/>
    <w:rsid w:val="00DC47E6"/>
    <w:rsid w:val="00DD34CD"/>
    <w:rsid w:val="00DD77D9"/>
    <w:rsid w:val="00DE2222"/>
    <w:rsid w:val="00DE3789"/>
    <w:rsid w:val="00E13C5A"/>
    <w:rsid w:val="00E4467D"/>
    <w:rsid w:val="00E564E0"/>
    <w:rsid w:val="00E6435A"/>
    <w:rsid w:val="00E735FA"/>
    <w:rsid w:val="00E751AF"/>
    <w:rsid w:val="00E96D91"/>
    <w:rsid w:val="00EA1E91"/>
    <w:rsid w:val="00EB6197"/>
    <w:rsid w:val="00ED38B5"/>
    <w:rsid w:val="00EE1165"/>
    <w:rsid w:val="00EF3326"/>
    <w:rsid w:val="00EF7435"/>
    <w:rsid w:val="00F0244A"/>
    <w:rsid w:val="00F14552"/>
    <w:rsid w:val="00F31AC5"/>
    <w:rsid w:val="00F338CE"/>
    <w:rsid w:val="00F34A10"/>
    <w:rsid w:val="00F37B97"/>
    <w:rsid w:val="00F42C05"/>
    <w:rsid w:val="00F5059C"/>
    <w:rsid w:val="00F52E43"/>
    <w:rsid w:val="00FA1D8A"/>
    <w:rsid w:val="00FA6A4C"/>
    <w:rsid w:val="00FB5D3B"/>
    <w:rsid w:val="00FC250E"/>
    <w:rsid w:val="00FC2957"/>
    <w:rsid w:val="00FD502F"/>
    <w:rsid w:val="00FE20B1"/>
    <w:rsid w:val="00FE3D6F"/>
    <w:rsid w:val="00FF5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7A1D45-EAD1-41F9-A847-1DCCE550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3942"/>
    <w:rPr>
      <w:sz w:val="24"/>
      <w:szCs w:val="24"/>
    </w:rPr>
  </w:style>
  <w:style w:type="paragraph" w:styleId="Titre1">
    <w:name w:val="heading 1"/>
    <w:basedOn w:val="Normal"/>
    <w:next w:val="Normal"/>
    <w:qFormat/>
    <w:rsid w:val="007E3942"/>
    <w:pPr>
      <w:keepNext/>
      <w:outlineLvl w:val="0"/>
    </w:pPr>
    <w:rPr>
      <w:rFonts w:ascii="Arial" w:hAnsi="Arial" w:cs="Arial"/>
      <w:sz w:val="28"/>
    </w:rPr>
  </w:style>
  <w:style w:type="paragraph" w:styleId="Titre3">
    <w:name w:val="heading 3"/>
    <w:basedOn w:val="Normal"/>
    <w:next w:val="Normal"/>
    <w:qFormat/>
    <w:rsid w:val="007E3942"/>
    <w:pPr>
      <w:keepNext/>
      <w:ind w:left="4680" w:right="-1398"/>
      <w:outlineLvl w:val="2"/>
    </w:pPr>
    <w:rPr>
      <w:rFonts w:ascii="Arial" w:hAnsi="Arial"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F32F3"/>
    <w:rPr>
      <w:rFonts w:ascii="Tahoma" w:hAnsi="Tahoma" w:cs="Tahoma"/>
      <w:sz w:val="16"/>
      <w:szCs w:val="16"/>
    </w:rPr>
  </w:style>
  <w:style w:type="paragraph" w:customStyle="1" w:styleId="Paragraphedeliste1">
    <w:name w:val="Paragraphe de liste1"/>
    <w:basedOn w:val="Normal"/>
    <w:rsid w:val="00D86A49"/>
    <w:pPr>
      <w:spacing w:after="200" w:line="276" w:lineRule="auto"/>
      <w:ind w:left="720"/>
    </w:pPr>
    <w:rPr>
      <w:rFonts w:ascii="Calibri" w:hAnsi="Calibri"/>
      <w:sz w:val="22"/>
      <w:szCs w:val="22"/>
      <w:lang w:eastAsia="en-US"/>
    </w:rPr>
  </w:style>
  <w:style w:type="paragraph" w:styleId="Listepuces">
    <w:name w:val="List Bullet"/>
    <w:basedOn w:val="Normal"/>
    <w:link w:val="ListepucesCar"/>
    <w:qFormat/>
    <w:rsid w:val="00D91CBD"/>
    <w:pPr>
      <w:numPr>
        <w:numId w:val="5"/>
      </w:numPr>
      <w:spacing w:after="240"/>
    </w:pPr>
    <w:rPr>
      <w:lang w:val="en-US"/>
    </w:rPr>
  </w:style>
  <w:style w:type="character" w:customStyle="1" w:styleId="ListepucesCar">
    <w:name w:val="Liste à puces Car"/>
    <w:link w:val="Listepuces"/>
    <w:rsid w:val="00D91CBD"/>
    <w:rPr>
      <w:sz w:val="24"/>
      <w:szCs w:val="24"/>
      <w:lang w:val="en-US"/>
    </w:rPr>
  </w:style>
  <w:style w:type="paragraph" w:styleId="Paragraphedeliste">
    <w:name w:val="List Paragraph"/>
    <w:aliases w:val="References,Bullets,List Bullet Mary,List Paragraph (numbered (a)),Numbered List Paragraph,ReferencesCxSpLast,List Paragraph nowy,Liste 1,List_Paragraph,Multilevel para_II,List Paragraph1,lp1,List Bullet-OpsManual,Title Style 1,EC"/>
    <w:basedOn w:val="Normal"/>
    <w:link w:val="ParagraphedelisteCar"/>
    <w:uiPriority w:val="34"/>
    <w:qFormat/>
    <w:rsid w:val="00D91CBD"/>
    <w:pPr>
      <w:spacing w:after="200" w:line="276"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rsid w:val="009E781E"/>
    <w:pPr>
      <w:suppressAutoHyphens/>
    </w:pPr>
    <w:rPr>
      <w:sz w:val="20"/>
      <w:szCs w:val="20"/>
      <w:lang w:eastAsia="ar-SA"/>
    </w:rPr>
  </w:style>
  <w:style w:type="character" w:customStyle="1" w:styleId="NotedebasdepageCar">
    <w:name w:val="Note de bas de page Car"/>
    <w:basedOn w:val="Policepardfaut"/>
    <w:link w:val="Notedebasdepage"/>
    <w:uiPriority w:val="99"/>
    <w:semiHidden/>
    <w:rsid w:val="009E781E"/>
    <w:rPr>
      <w:lang w:eastAsia="ar-SA"/>
    </w:rPr>
  </w:style>
  <w:style w:type="table" w:styleId="Grilledutableau">
    <w:name w:val="Table Grid"/>
    <w:basedOn w:val="TableauNormal"/>
    <w:uiPriority w:val="59"/>
    <w:rsid w:val="009E78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List Bullet Mary Car,List Paragraph (numbered (a)) Car,Numbered List Paragraph Car,ReferencesCxSpLast Car,List Paragraph nowy Car,Liste 1 Car,List_Paragraph Car,Multilevel para_II Car,lp1 Car,EC Car"/>
    <w:link w:val="Paragraphedeliste"/>
    <w:uiPriority w:val="34"/>
    <w:qFormat/>
    <w:locked/>
    <w:rsid w:val="009E781E"/>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2D5E19"/>
    <w:pPr>
      <w:tabs>
        <w:tab w:val="center" w:pos="4536"/>
        <w:tab w:val="right" w:pos="9072"/>
      </w:tabs>
    </w:pPr>
  </w:style>
  <w:style w:type="character" w:customStyle="1" w:styleId="En-tteCar">
    <w:name w:val="En-tête Car"/>
    <w:basedOn w:val="Policepardfaut"/>
    <w:link w:val="En-tte"/>
    <w:uiPriority w:val="99"/>
    <w:rsid w:val="002D5E19"/>
    <w:rPr>
      <w:sz w:val="24"/>
      <w:szCs w:val="24"/>
    </w:rPr>
  </w:style>
  <w:style w:type="paragraph" w:styleId="Pieddepage">
    <w:name w:val="footer"/>
    <w:basedOn w:val="Normal"/>
    <w:link w:val="PieddepageCar"/>
    <w:uiPriority w:val="99"/>
    <w:unhideWhenUsed/>
    <w:rsid w:val="002D5E19"/>
    <w:pPr>
      <w:tabs>
        <w:tab w:val="center" w:pos="4536"/>
        <w:tab w:val="right" w:pos="9072"/>
      </w:tabs>
    </w:pPr>
  </w:style>
  <w:style w:type="character" w:customStyle="1" w:styleId="PieddepageCar">
    <w:name w:val="Pied de page Car"/>
    <w:basedOn w:val="Policepardfaut"/>
    <w:link w:val="Pieddepage"/>
    <w:uiPriority w:val="99"/>
    <w:rsid w:val="002D5E19"/>
    <w:rPr>
      <w:sz w:val="24"/>
      <w:szCs w:val="24"/>
    </w:rPr>
  </w:style>
  <w:style w:type="character" w:styleId="Appelnotedebasdep">
    <w:name w:val="footnote reference"/>
    <w:basedOn w:val="Policepardfaut"/>
    <w:semiHidden/>
    <w:unhideWhenUsed/>
    <w:rsid w:val="001B7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DFBB-EDCE-40E4-B1BA-25E2A518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1145</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COMMUNAUTE ECONOMIQUE ET MONETAIRE</vt:lpstr>
    </vt:vector>
  </TitlesOfParts>
  <Company>CEMPAC</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COMMUNAUTE ECONOMIQUE ET MONETAIRE</dc:title>
  <dc:subject/>
  <dc:creator>Poste KAZOU</dc:creator>
  <cp:keywords/>
  <cp:lastModifiedBy>HP</cp:lastModifiedBy>
  <cp:revision>3</cp:revision>
  <cp:lastPrinted>2017-04-26T16:39:00Z</cp:lastPrinted>
  <dcterms:created xsi:type="dcterms:W3CDTF">2017-04-27T13:49:00Z</dcterms:created>
  <dcterms:modified xsi:type="dcterms:W3CDTF">2017-04-29T07:25:00Z</dcterms:modified>
</cp:coreProperties>
</file>